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ED30DA">
      <w:pPr>
        <w:pStyle w:val="44"/>
        <w:jc w:val="center"/>
        <w:rPr>
          <w:rFonts w:hint="eastAsia" w:ascii="宋体" w:hAnsi="宋体" w:eastAsia="宋体"/>
          <w:b/>
          <w:bCs/>
          <w:color w:val="000000" w:themeColor="text1"/>
          <w:sz w:val="84"/>
          <w:szCs w:val="84"/>
          <w14:textFill>
            <w14:solidFill>
              <w14:schemeClr w14:val="tx1"/>
            </w14:solidFill>
          </w14:textFill>
        </w:rPr>
      </w:pPr>
      <w:bookmarkStart w:id="0" w:name="_Toc314487170"/>
      <w:bookmarkStart w:id="1" w:name="_Toc316393920"/>
      <w:r>
        <w:rPr>
          <w:rFonts w:hint="eastAsia" w:ascii="宋体" w:hAnsi="宋体" w:eastAsia="宋体"/>
          <w:b/>
          <w:bCs/>
          <w:color w:val="000000" w:themeColor="text1"/>
          <w:sz w:val="84"/>
          <w:szCs w:val="84"/>
          <w14:textFill>
            <w14:solidFill>
              <w14:schemeClr w14:val="tx1"/>
            </w14:solidFill>
          </w14:textFill>
        </w:rPr>
        <w:t xml:space="preserve">团 </w:t>
      </w:r>
      <w:r>
        <w:rPr>
          <w:rFonts w:ascii="宋体" w:hAnsi="宋体" w:eastAsia="宋体"/>
          <w:b/>
          <w:bCs/>
          <w:color w:val="000000" w:themeColor="text1"/>
          <w:sz w:val="84"/>
          <w:szCs w:val="84"/>
          <w14:textFill>
            <w14:solidFill>
              <w14:schemeClr w14:val="tx1"/>
            </w14:solidFill>
          </w14:textFill>
        </w:rPr>
        <w:t xml:space="preserve"> </w:t>
      </w:r>
      <w:r>
        <w:rPr>
          <w:rFonts w:hint="eastAsia" w:ascii="宋体" w:hAnsi="宋体" w:eastAsia="宋体"/>
          <w:b/>
          <w:bCs/>
          <w:color w:val="000000" w:themeColor="text1"/>
          <w:sz w:val="84"/>
          <w:szCs w:val="84"/>
          <w14:textFill>
            <w14:solidFill>
              <w14:schemeClr w14:val="tx1"/>
            </w14:solidFill>
          </w14:textFill>
        </w:rPr>
        <w:t xml:space="preserve">体 </w:t>
      </w:r>
      <w:r>
        <w:rPr>
          <w:rFonts w:ascii="宋体" w:hAnsi="宋体" w:eastAsia="宋体"/>
          <w:b/>
          <w:bCs/>
          <w:color w:val="000000" w:themeColor="text1"/>
          <w:sz w:val="84"/>
          <w:szCs w:val="84"/>
          <w14:textFill>
            <w14:solidFill>
              <w14:schemeClr w14:val="tx1"/>
            </w14:solidFill>
          </w14:textFill>
        </w:rPr>
        <w:t xml:space="preserve"> </w:t>
      </w:r>
      <w:r>
        <w:rPr>
          <w:rFonts w:hint="eastAsia" w:ascii="宋体" w:hAnsi="宋体" w:eastAsia="宋体"/>
          <w:b/>
          <w:bCs/>
          <w:color w:val="000000" w:themeColor="text1"/>
          <w:sz w:val="84"/>
          <w:szCs w:val="84"/>
          <w14:textFill>
            <w14:solidFill>
              <w14:schemeClr w14:val="tx1"/>
            </w14:solidFill>
          </w14:textFill>
        </w:rPr>
        <w:t xml:space="preserve">标 </w:t>
      </w:r>
      <w:r>
        <w:rPr>
          <w:rFonts w:ascii="宋体" w:hAnsi="宋体" w:eastAsia="宋体"/>
          <w:b/>
          <w:bCs/>
          <w:color w:val="000000" w:themeColor="text1"/>
          <w:sz w:val="84"/>
          <w:szCs w:val="84"/>
          <w14:textFill>
            <w14:solidFill>
              <w14:schemeClr w14:val="tx1"/>
            </w14:solidFill>
          </w14:textFill>
        </w:rPr>
        <w:t xml:space="preserve"> </w:t>
      </w:r>
      <w:r>
        <w:rPr>
          <w:rFonts w:hint="eastAsia" w:ascii="宋体" w:hAnsi="宋体" w:eastAsia="宋体"/>
          <w:b/>
          <w:bCs/>
          <w:color w:val="000000" w:themeColor="text1"/>
          <w:sz w:val="84"/>
          <w:szCs w:val="84"/>
          <w14:textFill>
            <w14:solidFill>
              <w14:schemeClr w14:val="tx1"/>
            </w14:solidFill>
          </w14:textFill>
        </w:rPr>
        <w:t>准</w:t>
      </w:r>
    </w:p>
    <w:p w14:paraId="17ED30DB">
      <w:pPr>
        <w:rPr>
          <w:color w:val="000000" w:themeColor="text1"/>
          <w14:textFill>
            <w14:solidFill>
              <w14:schemeClr w14:val="tx1"/>
            </w14:solidFill>
          </w14:textFill>
        </w:rPr>
      </w:pPr>
    </w:p>
    <w:p w14:paraId="17ED30DC">
      <w:pPr>
        <w:rPr>
          <w:rFonts w:hint="eastAsia" w:ascii="仿宋" w:hAnsi="仿宋" w:eastAsia="仿宋"/>
          <w:color w:val="000000" w:themeColor="text1"/>
          <w:sz w:val="28"/>
          <w:szCs w:val="28"/>
          <w:u w:val="thick"/>
          <w14:textFill>
            <w14:solidFill>
              <w14:schemeClr w14:val="tx1"/>
            </w14:solidFill>
          </w14:textFill>
        </w:rPr>
      </w:pPr>
      <w:r>
        <w:rPr>
          <w:rFonts w:hint="eastAsia"/>
          <w:color w:val="000000" w:themeColor="text1"/>
          <w:u w:val="thick"/>
          <w14:textFill>
            <w14:solidFill>
              <w14:schemeClr w14:val="tx1"/>
            </w14:solidFill>
          </w14:textFill>
        </w:rPr>
        <w:t xml:space="preserve"> </w:t>
      </w:r>
      <w:r>
        <w:rPr>
          <w:color w:val="000000" w:themeColor="text1"/>
          <w:u w:val="thick"/>
          <w14:textFill>
            <w14:solidFill>
              <w14:schemeClr w14:val="tx1"/>
            </w14:solidFill>
          </w14:textFill>
        </w:rPr>
        <w:t xml:space="preserve">                                                            </w:t>
      </w:r>
      <w:r>
        <w:rPr>
          <w:color w:val="000000" w:themeColor="text1"/>
          <w:sz w:val="28"/>
          <w:szCs w:val="28"/>
          <w:u w:val="thick"/>
          <w14:textFill>
            <w14:solidFill>
              <w14:schemeClr w14:val="tx1"/>
            </w14:solidFill>
          </w14:textFill>
        </w:rPr>
        <w:t xml:space="preserve"> </w:t>
      </w:r>
      <w:r>
        <w:rPr>
          <w:rFonts w:hint="eastAsia" w:ascii="黑体" w:hAnsi="黑体" w:eastAsia="黑体" w:cs="黑体"/>
          <w:color w:val="000000" w:themeColor="text1"/>
          <w:sz w:val="28"/>
          <w:szCs w:val="28"/>
          <w:u w:val="thick"/>
          <w14:textFill>
            <w14:solidFill>
              <w14:schemeClr w14:val="tx1"/>
            </w14:solidFill>
          </w14:textFill>
        </w:rPr>
        <w:t>T/CAMAC 0001—</w:t>
      </w:r>
      <w:r>
        <w:rPr>
          <w:rFonts w:hint="eastAsia" w:ascii="黑体" w:hAnsi="黑体" w:eastAsia="黑体" w:cs="黑体"/>
          <w:sz w:val="28"/>
          <w:szCs w:val="28"/>
          <w:u w:val="thick"/>
        </w:rPr>
        <w:t>202</w:t>
      </w:r>
      <w:r>
        <w:rPr>
          <w:rFonts w:hint="eastAsia" w:ascii="黑体" w:hAnsi="黑体" w:eastAsia="黑体" w:cs="黑体"/>
          <w:color w:val="0000FF"/>
          <w:sz w:val="28"/>
          <w:szCs w:val="28"/>
          <w:u w:val="thick"/>
        </w:rPr>
        <w:t>6</w:t>
      </w:r>
      <w:r>
        <w:rPr>
          <w:rFonts w:ascii="仿宋" w:hAnsi="仿宋" w:eastAsia="仿宋"/>
          <w:color w:val="000000" w:themeColor="text1"/>
          <w:sz w:val="28"/>
          <w:szCs w:val="28"/>
          <w:u w:val="thick"/>
          <w14:textFill>
            <w14:solidFill>
              <w14:schemeClr w14:val="tx1"/>
            </w14:solidFill>
          </w14:textFill>
        </w:rPr>
        <w:t xml:space="preserve">                                   </w:t>
      </w:r>
    </w:p>
    <w:p w14:paraId="17ED30DD">
      <w:pPr>
        <w:rPr>
          <w:color w:val="000000" w:themeColor="text1"/>
          <w14:textFill>
            <w14:solidFill>
              <w14:schemeClr w14:val="tx1"/>
            </w14:solidFill>
          </w14:textFill>
        </w:rPr>
      </w:pPr>
    </w:p>
    <w:p w14:paraId="17ED30DE">
      <w:pPr>
        <w:rPr>
          <w:color w:val="000000" w:themeColor="text1"/>
          <w14:textFill>
            <w14:solidFill>
              <w14:schemeClr w14:val="tx1"/>
            </w14:solidFill>
          </w14:textFill>
        </w:rPr>
      </w:pPr>
    </w:p>
    <w:p w14:paraId="17ED30DF">
      <w:pPr>
        <w:rPr>
          <w:color w:val="000000" w:themeColor="text1"/>
          <w14:textFill>
            <w14:solidFill>
              <w14:schemeClr w14:val="tx1"/>
            </w14:solidFill>
          </w14:textFill>
        </w:rPr>
      </w:pPr>
    </w:p>
    <w:p w14:paraId="17ED30E0">
      <w:pPr>
        <w:rPr>
          <w:color w:val="000000" w:themeColor="text1"/>
          <w14:textFill>
            <w14:solidFill>
              <w14:schemeClr w14:val="tx1"/>
            </w14:solidFill>
          </w14:textFill>
        </w:rPr>
      </w:pPr>
    </w:p>
    <w:p w14:paraId="17ED30E1">
      <w:pPr>
        <w:rPr>
          <w:color w:val="000000" w:themeColor="text1"/>
          <w14:textFill>
            <w14:solidFill>
              <w14:schemeClr w14:val="tx1"/>
            </w14:solidFill>
          </w14:textFill>
        </w:rPr>
      </w:pPr>
    </w:p>
    <w:p w14:paraId="17ED30E2">
      <w:pPr>
        <w:rPr>
          <w:color w:val="000000" w:themeColor="text1"/>
          <w14:textFill>
            <w14:solidFill>
              <w14:schemeClr w14:val="tx1"/>
            </w14:solidFill>
          </w14:textFill>
        </w:rPr>
      </w:pPr>
    </w:p>
    <w:p w14:paraId="17ED30E3">
      <w:pPr>
        <w:rPr>
          <w:rFonts w:hint="eastAsia" w:ascii="黑体" w:hAnsi="黑体" w:eastAsia="黑体" w:cs="黑体"/>
          <w:b/>
          <w:bCs/>
          <w:color w:val="000000" w:themeColor="text1"/>
          <w:sz w:val="52"/>
          <w:szCs w:val="52"/>
          <w14:textFill>
            <w14:solidFill>
              <w14:schemeClr w14:val="tx1"/>
            </w14:solidFill>
          </w14:textFill>
        </w:rPr>
      </w:pPr>
    </w:p>
    <w:p w14:paraId="17ED30E4">
      <w:pPr>
        <w:jc w:val="center"/>
        <w:rPr>
          <w:rFonts w:hint="eastAsia" w:ascii="黑体" w:hAnsi="黑体" w:eastAsia="黑体" w:cs="黑体"/>
          <w:b/>
          <w:bCs/>
          <w:color w:val="000000" w:themeColor="text1"/>
          <w:sz w:val="52"/>
          <w:szCs w:val="52"/>
          <w14:textFill>
            <w14:solidFill>
              <w14:schemeClr w14:val="tx1"/>
            </w14:solidFill>
          </w14:textFill>
        </w:rPr>
      </w:pPr>
      <w:r>
        <w:rPr>
          <w:rFonts w:hint="eastAsia" w:ascii="黑体" w:hAnsi="黑体" w:eastAsia="黑体" w:cs="黑体"/>
          <w:b/>
          <w:bCs/>
          <w:color w:val="000000" w:themeColor="text1"/>
          <w:sz w:val="52"/>
          <w:szCs w:val="52"/>
          <w14:textFill>
            <w14:solidFill>
              <w14:schemeClr w14:val="tx1"/>
            </w14:solidFill>
          </w14:textFill>
        </w:rPr>
        <w:t>民用航空无损检测人员资格鉴定与认证</w:t>
      </w:r>
    </w:p>
    <w:p w14:paraId="17ED30E5">
      <w:pPr>
        <w:pStyle w:val="24"/>
        <w:ind w:firstLine="0" w:firstLineChars="0"/>
        <w:jc w:val="distribute"/>
        <w:rPr>
          <w:rFonts w:ascii="Times New Roman"/>
          <w:color w:val="000000" w:themeColor="text1"/>
          <w:w w:val="90"/>
          <w:sz w:val="28"/>
          <w:szCs w:val="28"/>
          <w14:textFill>
            <w14:solidFill>
              <w14:schemeClr w14:val="tx1"/>
            </w14:solidFill>
          </w14:textFill>
        </w:rPr>
      </w:pPr>
      <w:r>
        <w:rPr>
          <w:rFonts w:ascii="Times New Roman"/>
          <w:color w:val="000000" w:themeColor="text1"/>
          <w:w w:val="90"/>
          <w:sz w:val="28"/>
          <w:szCs w:val="28"/>
          <w14:textFill>
            <w14:solidFill>
              <w14:schemeClr w14:val="tx1"/>
            </w14:solidFill>
          </w14:textFill>
        </w:rPr>
        <w:t>Qualification and Certification of Nondestructive</w:t>
      </w:r>
      <w:r>
        <w:rPr>
          <w:rFonts w:hint="eastAsia" w:ascii="Times New Roman"/>
          <w:color w:val="000000" w:themeColor="text1"/>
          <w:w w:val="90"/>
          <w:sz w:val="28"/>
          <w:szCs w:val="28"/>
          <w14:textFill>
            <w14:solidFill>
              <w14:schemeClr w14:val="tx1"/>
            </w14:solidFill>
          </w14:textFill>
        </w:rPr>
        <w:t xml:space="preserve"> </w:t>
      </w:r>
      <w:r>
        <w:rPr>
          <w:rFonts w:ascii="Times New Roman"/>
          <w:color w:val="000000" w:themeColor="text1"/>
          <w:w w:val="90"/>
          <w:sz w:val="28"/>
          <w:szCs w:val="28"/>
          <w14:textFill>
            <w14:solidFill>
              <w14:schemeClr w14:val="tx1"/>
            </w14:solidFill>
          </w14:textFill>
        </w:rPr>
        <w:t xml:space="preserve">Testing Personnel </w:t>
      </w:r>
      <w:r>
        <w:rPr>
          <w:rFonts w:hint="eastAsia" w:ascii="Times New Roman"/>
          <w:color w:val="000000" w:themeColor="text1"/>
          <w:w w:val="90"/>
          <w:sz w:val="28"/>
          <w:szCs w:val="28"/>
          <w14:textFill>
            <w14:solidFill>
              <w14:schemeClr w14:val="tx1"/>
            </w14:solidFill>
          </w14:textFill>
        </w:rPr>
        <w:t>of Civil Aviation</w:t>
      </w:r>
    </w:p>
    <w:p w14:paraId="17ED30E6">
      <w:pPr>
        <w:pStyle w:val="24"/>
        <w:rPr>
          <w:color w:val="000000" w:themeColor="text1"/>
          <w14:textFill>
            <w14:solidFill>
              <w14:schemeClr w14:val="tx1"/>
            </w14:solidFill>
          </w14:textFill>
        </w:rPr>
      </w:pPr>
    </w:p>
    <w:p w14:paraId="17ED30E7">
      <w:pPr>
        <w:pStyle w:val="24"/>
        <w:rPr>
          <w:color w:val="000000" w:themeColor="text1"/>
          <w14:textFill>
            <w14:solidFill>
              <w14:schemeClr w14:val="tx1"/>
            </w14:solidFill>
          </w14:textFill>
        </w:rPr>
      </w:pPr>
    </w:p>
    <w:p w14:paraId="17ED30E8">
      <w:pPr>
        <w:pStyle w:val="24"/>
        <w:rPr>
          <w:color w:val="000000" w:themeColor="text1"/>
          <w14:textFill>
            <w14:solidFill>
              <w14:schemeClr w14:val="tx1"/>
            </w14:solidFill>
          </w14:textFill>
        </w:rPr>
      </w:pPr>
    </w:p>
    <w:p w14:paraId="17ED30E9">
      <w:pPr>
        <w:pStyle w:val="24"/>
        <w:rPr>
          <w:color w:val="000000" w:themeColor="text1"/>
          <w14:textFill>
            <w14:solidFill>
              <w14:schemeClr w14:val="tx1"/>
            </w14:solidFill>
          </w14:textFill>
        </w:rPr>
      </w:pPr>
    </w:p>
    <w:p w14:paraId="17ED30EA">
      <w:pPr>
        <w:pStyle w:val="24"/>
        <w:rPr>
          <w:color w:val="000000" w:themeColor="text1"/>
          <w14:textFill>
            <w14:solidFill>
              <w14:schemeClr w14:val="tx1"/>
            </w14:solidFill>
          </w14:textFill>
        </w:rPr>
      </w:pPr>
    </w:p>
    <w:p w14:paraId="17ED30EB">
      <w:pPr>
        <w:pStyle w:val="24"/>
        <w:rPr>
          <w:color w:val="000000" w:themeColor="text1"/>
          <w14:textFill>
            <w14:solidFill>
              <w14:schemeClr w14:val="tx1"/>
            </w14:solidFill>
          </w14:textFill>
        </w:rPr>
      </w:pPr>
    </w:p>
    <w:p w14:paraId="17ED30EC">
      <w:pPr>
        <w:pStyle w:val="24"/>
        <w:rPr>
          <w:color w:val="000000" w:themeColor="text1"/>
          <w14:textFill>
            <w14:solidFill>
              <w14:schemeClr w14:val="tx1"/>
            </w14:solidFill>
          </w14:textFill>
        </w:rPr>
      </w:pPr>
    </w:p>
    <w:p w14:paraId="17ED30ED">
      <w:pPr>
        <w:pStyle w:val="24"/>
        <w:rPr>
          <w:color w:val="000000" w:themeColor="text1"/>
          <w14:textFill>
            <w14:solidFill>
              <w14:schemeClr w14:val="tx1"/>
            </w14:solidFill>
          </w14:textFill>
        </w:rPr>
      </w:pPr>
    </w:p>
    <w:p w14:paraId="17ED30EE">
      <w:pPr>
        <w:pStyle w:val="24"/>
        <w:rPr>
          <w:color w:val="000000" w:themeColor="text1"/>
          <w14:textFill>
            <w14:solidFill>
              <w14:schemeClr w14:val="tx1"/>
            </w14:solidFill>
          </w14:textFill>
        </w:rPr>
      </w:pPr>
    </w:p>
    <w:p w14:paraId="17ED30EF">
      <w:pPr>
        <w:pStyle w:val="24"/>
        <w:ind w:firstLine="0" w:firstLineChars="0"/>
        <w:rPr>
          <w:color w:val="000000" w:themeColor="text1"/>
          <w14:textFill>
            <w14:solidFill>
              <w14:schemeClr w14:val="tx1"/>
            </w14:solidFill>
          </w14:textFill>
        </w:rPr>
      </w:pPr>
    </w:p>
    <w:p w14:paraId="17ED30F0">
      <w:pPr>
        <w:pStyle w:val="24"/>
        <w:rPr>
          <w:color w:val="000000" w:themeColor="text1"/>
          <w14:textFill>
            <w14:solidFill>
              <w14:schemeClr w14:val="tx1"/>
            </w14:solidFill>
          </w14:textFill>
        </w:rPr>
      </w:pPr>
    </w:p>
    <w:p w14:paraId="17ED30F1">
      <w:pPr>
        <w:pStyle w:val="24"/>
        <w:rPr>
          <w:color w:val="000000" w:themeColor="text1"/>
          <w14:textFill>
            <w14:solidFill>
              <w14:schemeClr w14:val="tx1"/>
            </w14:solidFill>
          </w14:textFill>
        </w:rPr>
      </w:pPr>
    </w:p>
    <w:p w14:paraId="17ED30F2">
      <w:pPr>
        <w:rPr>
          <w:color w:val="000000" w:themeColor="text1"/>
          <w:sz w:val="30"/>
          <w:szCs w:val="30"/>
          <w:u w:val="thick"/>
          <w14:textFill>
            <w14:solidFill>
              <w14:schemeClr w14:val="tx1"/>
            </w14:solidFill>
          </w14:textFill>
        </w:rPr>
      </w:pPr>
    </w:p>
    <w:p w14:paraId="17ED30F3">
      <w:pPr>
        <w:rPr>
          <w:color w:val="000000" w:themeColor="text1"/>
          <w:sz w:val="30"/>
          <w:szCs w:val="30"/>
          <w:u w:val="thick"/>
          <w14:textFill>
            <w14:solidFill>
              <w14:schemeClr w14:val="tx1"/>
            </w14:solidFill>
          </w14:textFill>
        </w:rPr>
      </w:pPr>
      <w:r>
        <w:rPr>
          <w:sz w:val="30"/>
          <w:szCs w:val="30"/>
          <w:u w:val="thick"/>
        </w:rPr>
        <w:t>202</w:t>
      </w:r>
      <w:r>
        <w:rPr>
          <w:rFonts w:hint="eastAsia"/>
          <w:sz w:val="30"/>
          <w:szCs w:val="30"/>
          <w:u w:val="thick"/>
        </w:rPr>
        <w:t>X</w:t>
      </w:r>
      <w:r>
        <w:rPr>
          <w:rFonts w:hint="eastAsia"/>
          <w:color w:val="000000" w:themeColor="text1"/>
          <w:sz w:val="30"/>
          <w:szCs w:val="30"/>
          <w:u w:val="thick"/>
          <w14:textFill>
            <w14:solidFill>
              <w14:schemeClr w14:val="tx1"/>
            </w14:solidFill>
          </w14:textFill>
        </w:rPr>
        <w:t xml:space="preserve">年X月X日 发布 </w:t>
      </w:r>
      <w:r>
        <w:rPr>
          <w:color w:val="000000" w:themeColor="text1"/>
          <w:sz w:val="30"/>
          <w:szCs w:val="30"/>
          <w:u w:val="thick"/>
          <w14:textFill>
            <w14:solidFill>
              <w14:schemeClr w14:val="tx1"/>
            </w14:solidFill>
          </w14:textFill>
        </w:rPr>
        <w:t xml:space="preserve">                    </w:t>
      </w:r>
      <w:r>
        <w:rPr>
          <w:sz w:val="30"/>
          <w:szCs w:val="30"/>
          <w:u w:val="thick"/>
        </w:rPr>
        <w:t>202</w:t>
      </w:r>
      <w:r>
        <w:rPr>
          <w:rFonts w:hint="eastAsia"/>
          <w:sz w:val="30"/>
          <w:szCs w:val="30"/>
          <w:u w:val="thick"/>
        </w:rPr>
        <w:t>X</w:t>
      </w:r>
      <w:r>
        <w:rPr>
          <w:rFonts w:hint="eastAsia"/>
          <w:color w:val="000000" w:themeColor="text1"/>
          <w:sz w:val="30"/>
          <w:szCs w:val="30"/>
          <w:u w:val="thick"/>
          <w14:textFill>
            <w14:solidFill>
              <w14:schemeClr w14:val="tx1"/>
            </w14:solidFill>
          </w14:textFill>
        </w:rPr>
        <w:t xml:space="preserve">年X月X日 实施 </w:t>
      </w:r>
    </w:p>
    <w:p w14:paraId="17ED30F4">
      <w:pPr>
        <w:rPr>
          <w:color w:val="000000" w:themeColor="text1"/>
          <w:sz w:val="24"/>
          <w:u w:val="thick"/>
          <w14:textFill>
            <w14:solidFill>
              <w14:schemeClr w14:val="tx1"/>
            </w14:solidFill>
          </w14:textFill>
        </w:rPr>
      </w:pPr>
    </w:p>
    <w:p w14:paraId="17ED30F5">
      <w:pPr>
        <w:pStyle w:val="18"/>
        <w:jc w:val="center"/>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 xml:space="preserve">中国民用航空维修协会 </w:t>
      </w:r>
      <w:r>
        <w:rPr>
          <w:color w:val="000000" w:themeColor="text1"/>
          <w:sz w:val="32"/>
          <w:szCs w:val="32"/>
          <w14:textFill>
            <w14:solidFill>
              <w14:schemeClr w14:val="tx1"/>
            </w14:solidFill>
          </w14:textFill>
        </w:rPr>
        <w:t xml:space="preserve"> </w:t>
      </w:r>
      <w:r>
        <w:rPr>
          <w:rFonts w:hint="eastAsia"/>
          <w:color w:val="000000" w:themeColor="text1"/>
          <w:sz w:val="32"/>
          <w:szCs w:val="32"/>
          <w14:textFill>
            <w14:solidFill>
              <w14:schemeClr w14:val="tx1"/>
            </w14:solidFill>
          </w14:textFill>
        </w:rPr>
        <w:t>发布</w:t>
      </w:r>
    </w:p>
    <w:p w14:paraId="17ED30F6">
      <w:pPr>
        <w:rPr>
          <w:color w:val="000000" w:themeColor="text1"/>
          <w:sz w:val="24"/>
          <w:u w:val="thick"/>
          <w14:textFill>
            <w14:solidFill>
              <w14:schemeClr w14:val="tx1"/>
            </w14:solidFill>
          </w14:textFill>
        </w:rPr>
      </w:pPr>
    </w:p>
    <w:p w14:paraId="17ED30F7">
      <w:pPr>
        <w:rPr>
          <w:color w:val="000000" w:themeColor="text1"/>
          <w14:textFill>
            <w14:solidFill>
              <w14:schemeClr w14:val="tx1"/>
            </w14:solidFill>
          </w14:textFill>
        </w:rPr>
      </w:pPr>
    </w:p>
    <w:p w14:paraId="17ED30F8">
      <w:pPr>
        <w:jc w:val="center"/>
        <w:rPr>
          <w:rFonts w:hint="eastAsia" w:ascii="黑体" w:hAnsi="黑体" w:eastAsia="黑体"/>
          <w:sz w:val="32"/>
        </w:rPr>
      </w:pPr>
      <w:r>
        <w:rPr>
          <w:rFonts w:hint="eastAsia" w:ascii="黑体" w:hAnsi="黑体" w:eastAsia="黑体"/>
          <w:sz w:val="32"/>
        </w:rPr>
        <w:t>目</w:t>
      </w:r>
      <w:bookmarkStart w:id="2" w:name="BKML"/>
      <w:r>
        <w:rPr>
          <w:rFonts w:hint="eastAsia" w:ascii="黑体" w:hAnsi="黑体" w:eastAsia="黑体"/>
          <w:sz w:val="32"/>
        </w:rPr>
        <w:t xml:space="preserve"> </w:t>
      </w:r>
      <w:r>
        <w:rPr>
          <w:rFonts w:ascii="黑体" w:hAnsi="黑体" w:eastAsia="黑体"/>
          <w:sz w:val="32"/>
        </w:rPr>
        <w:t xml:space="preserve">   </w:t>
      </w:r>
      <w:r>
        <w:rPr>
          <w:rFonts w:hint="eastAsia" w:ascii="黑体" w:hAnsi="黑体" w:eastAsia="黑体"/>
          <w:sz w:val="32"/>
        </w:rPr>
        <w:t>次</w:t>
      </w:r>
      <w:bookmarkEnd w:id="2"/>
    </w:p>
    <w:sdt>
      <w:sdtPr>
        <w:rPr>
          <w:rFonts w:ascii="Times New Roman" w:hAnsi="Times New Roman" w:eastAsia="宋体" w:cs="Times New Roman"/>
          <w:color w:val="auto"/>
          <w:kern w:val="2"/>
          <w:sz w:val="21"/>
          <w:szCs w:val="24"/>
          <w:lang w:val="zh-CN"/>
        </w:rPr>
        <w:id w:val="-851651311"/>
        <w:docPartObj>
          <w:docPartGallery w:val="Table of Contents"/>
          <w:docPartUnique/>
        </w:docPartObj>
      </w:sdtPr>
      <w:sdtEndPr>
        <w:rPr>
          <w:rFonts w:ascii="Times New Roman" w:hAnsi="Times New Roman" w:eastAsia="宋体" w:cs="Times New Roman"/>
          <w:b/>
          <w:bCs/>
          <w:color w:val="auto"/>
          <w:kern w:val="2"/>
          <w:sz w:val="21"/>
          <w:szCs w:val="24"/>
          <w:lang w:val="zh-CN"/>
        </w:rPr>
      </w:sdtEndPr>
      <w:sdtContent>
        <w:p w14:paraId="17ED30F9">
          <w:pPr>
            <w:pStyle w:val="142"/>
            <w:spacing w:before="156" w:after="156"/>
            <w:rPr>
              <w:sz w:val="11"/>
            </w:rPr>
          </w:pPr>
        </w:p>
        <w:p w14:paraId="189B1788">
          <w:pPr>
            <w:pStyle w:val="20"/>
            <w:spacing w:before="78" w:after="78"/>
            <w:rPr>
              <w:rFonts w:asciiTheme="minorHAnsi" w:hAnsiTheme="minorHAnsi" w:eastAsiaTheme="minorEastAsia" w:cstheme="minorBidi"/>
              <w:sz w:val="22"/>
              <w:szCs w:val="24"/>
              <w14:ligatures w14:val="standardContextual"/>
            </w:rPr>
          </w:pPr>
          <w:r>
            <w:fldChar w:fldCharType="begin"/>
          </w:r>
          <w:r>
            <w:instrText xml:space="preserve"> TOC \o "1-3" \h \z \u </w:instrText>
          </w:r>
          <w:r>
            <w:fldChar w:fldCharType="separate"/>
          </w:r>
          <w:r>
            <w:fldChar w:fldCharType="begin"/>
          </w:r>
          <w:r>
            <w:instrText xml:space="preserve"> HYPERLINK \l "_Toc240124472" </w:instrText>
          </w:r>
          <w:r>
            <w:fldChar w:fldCharType="separate"/>
          </w:r>
          <w:r>
            <w:rPr>
              <w:rStyle w:val="39"/>
            </w:rPr>
            <w:t>前  言</w:t>
          </w:r>
          <w:r>
            <w:rPr>
              <w:rFonts w:hint="eastAsia"/>
            </w:rPr>
            <w:tab/>
          </w:r>
          <w:r>
            <w:rPr>
              <w:rFonts w:hint="eastAsia"/>
            </w:rPr>
            <w:fldChar w:fldCharType="begin"/>
          </w:r>
          <w:r>
            <w:rPr>
              <w:rFonts w:hint="eastAsia"/>
            </w:rPr>
            <w:instrText xml:space="preserve"> </w:instrText>
          </w:r>
          <w:r>
            <w:instrText xml:space="preserve">PAGEREF _Toc240124472 \h</w:instrText>
          </w:r>
          <w:r>
            <w:rPr>
              <w:rFonts w:hint="eastAsia"/>
            </w:rPr>
            <w:instrText xml:space="preserve"> </w:instrText>
          </w:r>
          <w:r>
            <w:rPr>
              <w:rFonts w:hint="eastAsia"/>
            </w:rPr>
            <w:fldChar w:fldCharType="separate"/>
          </w:r>
          <w:r>
            <w:t>IV</w:t>
          </w:r>
          <w:r>
            <w:rPr>
              <w:rFonts w:hint="eastAsia"/>
            </w:rPr>
            <w:fldChar w:fldCharType="end"/>
          </w:r>
          <w:r>
            <w:rPr>
              <w:rFonts w:hint="eastAsia"/>
            </w:rPr>
            <w:fldChar w:fldCharType="end"/>
          </w:r>
        </w:p>
        <w:p w14:paraId="10E27701">
          <w:pPr>
            <w:pStyle w:val="29"/>
            <w:rPr>
              <w:rFonts w:asciiTheme="minorHAnsi" w:hAnsiTheme="minorHAnsi" w:eastAsiaTheme="minorEastAsia" w:cstheme="minorBidi"/>
              <w:sz w:val="22"/>
              <w:szCs w:val="24"/>
              <w14:ligatures w14:val="standardContextual"/>
            </w:rPr>
          </w:pPr>
          <w:r>
            <w:fldChar w:fldCharType="begin"/>
          </w:r>
          <w:r>
            <w:instrText xml:space="preserve"> HYPERLINK \l "_Toc240124473" </w:instrText>
          </w:r>
          <w:r>
            <w:fldChar w:fldCharType="separate"/>
          </w:r>
          <w:r>
            <w:rPr>
              <w:rStyle w:val="39"/>
            </w:rPr>
            <w:t>1 范围</w:t>
          </w:r>
          <w:r>
            <w:rPr>
              <w:rFonts w:hint="eastAsia"/>
            </w:rPr>
            <w:tab/>
          </w:r>
          <w:r>
            <w:rPr>
              <w:rFonts w:hint="eastAsia"/>
            </w:rPr>
            <w:fldChar w:fldCharType="begin"/>
          </w:r>
          <w:r>
            <w:rPr>
              <w:rFonts w:hint="eastAsia"/>
            </w:rPr>
            <w:instrText xml:space="preserve"> </w:instrText>
          </w:r>
          <w:r>
            <w:instrText xml:space="preserve">PAGEREF _Toc240124473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5AFC167C">
          <w:pPr>
            <w:pStyle w:val="29"/>
            <w:rPr>
              <w:rFonts w:asciiTheme="minorHAnsi" w:hAnsiTheme="minorHAnsi" w:eastAsiaTheme="minorEastAsia" w:cstheme="minorBidi"/>
              <w:sz w:val="22"/>
              <w:szCs w:val="24"/>
              <w14:ligatures w14:val="standardContextual"/>
            </w:rPr>
          </w:pPr>
          <w:r>
            <w:fldChar w:fldCharType="begin"/>
          </w:r>
          <w:r>
            <w:instrText xml:space="preserve"> HYPERLINK \l "_Toc240124474" </w:instrText>
          </w:r>
          <w:r>
            <w:fldChar w:fldCharType="separate"/>
          </w:r>
          <w:r>
            <w:rPr>
              <w:rStyle w:val="39"/>
            </w:rPr>
            <w:t>2 规范性引用文件</w:t>
          </w:r>
          <w:r>
            <w:rPr>
              <w:rFonts w:hint="eastAsia"/>
            </w:rPr>
            <w:tab/>
          </w:r>
          <w:r>
            <w:rPr>
              <w:rFonts w:hint="eastAsia"/>
            </w:rPr>
            <w:fldChar w:fldCharType="begin"/>
          </w:r>
          <w:r>
            <w:rPr>
              <w:rFonts w:hint="eastAsia"/>
            </w:rPr>
            <w:instrText xml:space="preserve"> </w:instrText>
          </w:r>
          <w:r>
            <w:instrText xml:space="preserve">PAGEREF _Toc240124474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13F78AEF">
          <w:pPr>
            <w:pStyle w:val="29"/>
            <w:rPr>
              <w:rFonts w:asciiTheme="minorHAnsi" w:hAnsiTheme="minorHAnsi" w:eastAsiaTheme="minorEastAsia" w:cstheme="minorBidi"/>
              <w:sz w:val="22"/>
              <w:szCs w:val="24"/>
              <w14:ligatures w14:val="standardContextual"/>
            </w:rPr>
          </w:pPr>
          <w:r>
            <w:fldChar w:fldCharType="begin"/>
          </w:r>
          <w:r>
            <w:instrText xml:space="preserve"> HYPERLINK \l "_Toc240124475" </w:instrText>
          </w:r>
          <w:r>
            <w:fldChar w:fldCharType="separate"/>
          </w:r>
          <w:r>
            <w:rPr>
              <w:rStyle w:val="39"/>
            </w:rPr>
            <w:t>3 术语和定义</w:t>
          </w:r>
          <w:r>
            <w:rPr>
              <w:rFonts w:hint="eastAsia"/>
            </w:rPr>
            <w:tab/>
          </w:r>
          <w:r>
            <w:rPr>
              <w:rFonts w:hint="eastAsia"/>
            </w:rPr>
            <w:fldChar w:fldCharType="begin"/>
          </w:r>
          <w:r>
            <w:rPr>
              <w:rFonts w:hint="eastAsia"/>
            </w:rPr>
            <w:instrText xml:space="preserve"> </w:instrText>
          </w:r>
          <w:r>
            <w:instrText xml:space="preserve">PAGEREF _Toc240124475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1A99BE48">
          <w:pPr>
            <w:pStyle w:val="29"/>
            <w:rPr>
              <w:rFonts w:asciiTheme="minorHAnsi" w:hAnsiTheme="minorHAnsi" w:eastAsiaTheme="minorEastAsia" w:cstheme="minorBidi"/>
              <w:sz w:val="22"/>
              <w:szCs w:val="24"/>
              <w14:ligatures w14:val="standardContextual"/>
            </w:rPr>
          </w:pPr>
          <w:r>
            <w:fldChar w:fldCharType="begin"/>
          </w:r>
          <w:r>
            <w:instrText xml:space="preserve"> HYPERLINK \l "_Toc240124587" </w:instrText>
          </w:r>
          <w:r>
            <w:fldChar w:fldCharType="separate"/>
          </w:r>
          <w:r>
            <w:rPr>
              <w:rStyle w:val="39"/>
            </w:rPr>
            <w:t>4 一般要求</w:t>
          </w:r>
          <w:r>
            <w:rPr>
              <w:rFonts w:hint="eastAsia"/>
            </w:rPr>
            <w:tab/>
          </w:r>
          <w:r>
            <w:rPr>
              <w:rFonts w:hint="eastAsia"/>
            </w:rPr>
            <w:fldChar w:fldCharType="begin"/>
          </w:r>
          <w:r>
            <w:rPr>
              <w:rFonts w:hint="eastAsia"/>
            </w:rPr>
            <w:instrText xml:space="preserve"> </w:instrText>
          </w:r>
          <w:r>
            <w:instrText xml:space="preserve">PAGEREF _Toc240124587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17258043">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"_Toc240124588" </w:instrText>
          </w:r>
          <w:r>
            <w:fldChar w:fldCharType="separate"/>
          </w:r>
          <w:r>
            <w:rPr>
              <w:rStyle w:val="39"/>
            </w:rPr>
            <w:t>4.1 书面实施规程</w:t>
          </w:r>
          <w:r>
            <w:rPr>
              <w:rFonts w:hint="eastAsia"/>
            </w:rPr>
            <w:tab/>
          </w:r>
          <w:r>
            <w:rPr>
              <w:rFonts w:hint="eastAsia"/>
            </w:rPr>
            <w:fldChar w:fldCharType="begin"/>
          </w:r>
          <w:r>
            <w:rPr>
              <w:rFonts w:hint="eastAsia"/>
            </w:rPr>
            <w:instrText xml:space="preserve"> </w:instrText>
          </w:r>
          <w:r>
            <w:instrText xml:space="preserve">PAGEREF _Toc240124588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14B65559">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"_Toc240124589" </w:instrText>
          </w:r>
          <w:r>
            <w:fldChar w:fldCharType="separate"/>
          </w:r>
          <w:r>
            <w:rPr>
              <w:rStyle w:val="39"/>
            </w:rPr>
            <w:t>4.2 方法</w:t>
          </w:r>
          <w:r>
            <w:rPr>
              <w:rFonts w:hint="eastAsia"/>
            </w:rPr>
            <w:tab/>
          </w:r>
          <w:r>
            <w:rPr>
              <w:rFonts w:hint="eastAsia"/>
            </w:rPr>
            <w:fldChar w:fldCharType="begin"/>
          </w:r>
          <w:r>
            <w:rPr>
              <w:rFonts w:hint="eastAsia"/>
            </w:rPr>
            <w:instrText xml:space="preserve"> </w:instrText>
          </w:r>
          <w:r>
            <w:instrText xml:space="preserve">PAGEREF _Toc240124589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31F4E3FE">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"_Toc240124590" </w:instrText>
          </w:r>
          <w:r>
            <w:fldChar w:fldCharType="separate"/>
          </w:r>
          <w:r>
            <w:rPr>
              <w:rStyle w:val="39"/>
            </w:rPr>
            <w:t>4.3 职责</w:t>
          </w:r>
          <w:r>
            <w:rPr>
              <w:rFonts w:hint="eastAsia"/>
            </w:rPr>
            <w:tab/>
          </w:r>
          <w:r>
            <w:rPr>
              <w:rFonts w:hint="eastAsia"/>
            </w:rPr>
            <w:fldChar w:fldCharType="begin"/>
          </w:r>
          <w:r>
            <w:rPr>
              <w:rFonts w:hint="eastAsia"/>
            </w:rPr>
            <w:instrText xml:space="preserve"> </w:instrText>
          </w:r>
          <w:r>
            <w:instrText xml:space="preserve">PAGEREF _Toc240124590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1ADB44A4">
          <w:pPr>
            <w:pStyle w:val="29"/>
            <w:rPr>
              <w:rFonts w:asciiTheme="minorHAnsi" w:hAnsiTheme="minorHAnsi" w:eastAsiaTheme="minorEastAsia" w:cstheme="minorBidi"/>
              <w:sz w:val="22"/>
              <w:szCs w:val="24"/>
              <w14:ligatures w14:val="standardContextual"/>
            </w:rPr>
          </w:pPr>
          <w:r>
            <w:fldChar w:fldCharType="begin"/>
          </w:r>
          <w:r>
            <w:instrText xml:space="preserve"> HYPERLINK \l "_Toc240124616" </w:instrText>
          </w:r>
          <w:r>
            <w:fldChar w:fldCharType="separate"/>
          </w:r>
          <w:r>
            <w:rPr>
              <w:rStyle w:val="39"/>
            </w:rPr>
            <w:t>5 资格鉴定和认证等级</w:t>
          </w:r>
          <w:r>
            <w:rPr>
              <w:rFonts w:hint="eastAsia"/>
            </w:rPr>
            <w:tab/>
          </w:r>
          <w:r>
            <w:rPr>
              <w:rFonts w:hint="eastAsia"/>
            </w:rPr>
            <w:fldChar w:fldCharType="begin"/>
          </w:r>
          <w:r>
            <w:rPr>
              <w:rFonts w:hint="eastAsia"/>
            </w:rPr>
            <w:instrText xml:space="preserve"> </w:instrText>
          </w:r>
          <w:r>
            <w:instrText xml:space="preserve">PAGEREF _Toc240124616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68E51859">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"_Toc240124617" </w:instrText>
          </w:r>
          <w:r>
            <w:fldChar w:fldCharType="separate"/>
          </w:r>
          <w:r>
            <w:rPr>
              <w:rStyle w:val="39"/>
            </w:rPr>
            <w:t>5.1 概述</w:t>
          </w:r>
          <w:r>
            <w:rPr>
              <w:rFonts w:hint="eastAsia"/>
            </w:rPr>
            <w:tab/>
          </w:r>
          <w:r>
            <w:rPr>
              <w:rFonts w:hint="eastAsia"/>
            </w:rPr>
            <w:fldChar w:fldCharType="begin"/>
          </w:r>
          <w:r>
            <w:rPr>
              <w:rFonts w:hint="eastAsia"/>
            </w:rPr>
            <w:instrText xml:space="preserve"> </w:instrText>
          </w:r>
          <w:r>
            <w:instrText xml:space="preserve">PAGEREF _Toc240124617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37E40731">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"_Toc240124618" </w:instrText>
          </w:r>
          <w:r>
            <w:fldChar w:fldCharType="separate"/>
          </w:r>
          <w:r>
            <w:rPr>
              <w:rStyle w:val="39"/>
            </w:rPr>
            <w:t>5.2 学员</w:t>
          </w:r>
          <w:r>
            <w:rPr>
              <w:rFonts w:hint="eastAsia"/>
            </w:rPr>
            <w:tab/>
          </w:r>
          <w:r>
            <w:rPr>
              <w:rFonts w:hint="eastAsia"/>
            </w:rPr>
            <w:fldChar w:fldCharType="begin"/>
          </w:r>
          <w:r>
            <w:rPr>
              <w:rFonts w:hint="eastAsia"/>
            </w:rPr>
            <w:instrText xml:space="preserve"> </w:instrText>
          </w:r>
          <w:r>
            <w:instrText xml:space="preserve">PAGEREF _Toc240124618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41F4BC1E">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"_Toc240124619" </w:instrText>
          </w:r>
          <w:r>
            <w:fldChar w:fldCharType="separate"/>
          </w:r>
          <w:r>
            <w:rPr>
              <w:rStyle w:val="39"/>
            </w:rPr>
            <w:t>5.3 限定1级人员</w:t>
          </w:r>
          <w:r>
            <w:rPr>
              <w:rFonts w:hint="eastAsia"/>
            </w:rPr>
            <w:tab/>
          </w:r>
          <w:r>
            <w:rPr>
              <w:rFonts w:hint="eastAsia"/>
            </w:rPr>
            <w:fldChar w:fldCharType="begin"/>
          </w:r>
          <w:r>
            <w:rPr>
              <w:rFonts w:hint="eastAsia"/>
            </w:rPr>
            <w:instrText xml:space="preserve"> </w:instrText>
          </w:r>
          <w:r>
            <w:instrText xml:space="preserve">PAGEREF _Toc240124619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64E19227">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"_Toc240124620" </w:instrText>
          </w:r>
          <w:r>
            <w:fldChar w:fldCharType="separate"/>
          </w:r>
          <w:r>
            <w:rPr>
              <w:rStyle w:val="39"/>
            </w:rPr>
            <w:t>5.4 1级人员</w:t>
          </w:r>
          <w:r>
            <w:rPr>
              <w:rFonts w:hint="eastAsia"/>
            </w:rPr>
            <w:tab/>
          </w:r>
          <w:r>
            <w:rPr>
              <w:rFonts w:hint="eastAsia"/>
            </w:rPr>
            <w:fldChar w:fldCharType="begin"/>
          </w:r>
          <w:r>
            <w:rPr>
              <w:rFonts w:hint="eastAsia"/>
            </w:rPr>
            <w:instrText xml:space="preserve"> </w:instrText>
          </w:r>
          <w:r>
            <w:instrText xml:space="preserve">PAGEREF _Toc240124620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3CB0D868">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"_Toc240124621" </w:instrText>
          </w:r>
          <w:r>
            <w:fldChar w:fldCharType="separate"/>
          </w:r>
          <w:r>
            <w:rPr>
              <w:rStyle w:val="39"/>
            </w:rPr>
            <w:t>5.5 2级人员</w:t>
          </w:r>
          <w:r>
            <w:rPr>
              <w:rFonts w:hint="eastAsia"/>
            </w:rPr>
            <w:tab/>
          </w:r>
          <w:r>
            <w:rPr>
              <w:rFonts w:hint="eastAsia"/>
            </w:rPr>
            <w:fldChar w:fldCharType="begin"/>
          </w:r>
          <w:r>
            <w:rPr>
              <w:rFonts w:hint="eastAsia"/>
            </w:rPr>
            <w:instrText xml:space="preserve"> </w:instrText>
          </w:r>
          <w:r>
            <w:instrText xml:space="preserve">PAGEREF _Toc240124621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676AD962">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"_Toc240124622" </w:instrText>
          </w:r>
          <w:r>
            <w:fldChar w:fldCharType="separate"/>
          </w:r>
          <w:r>
            <w:rPr>
              <w:rStyle w:val="39"/>
            </w:rPr>
            <w:t>5.6 3级人员</w:t>
          </w:r>
          <w:r>
            <w:rPr>
              <w:rFonts w:hint="eastAsia"/>
            </w:rPr>
            <w:tab/>
          </w:r>
          <w:r>
            <w:rPr>
              <w:rFonts w:hint="eastAsia"/>
            </w:rPr>
            <w:fldChar w:fldCharType="begin"/>
          </w:r>
          <w:r>
            <w:rPr>
              <w:rFonts w:hint="eastAsia"/>
            </w:rPr>
            <w:instrText xml:space="preserve"> </w:instrText>
          </w:r>
          <w:r>
            <w:instrText xml:space="preserve">PAGEREF _Toc240124622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09226902">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"_Toc240124623" </w:instrText>
          </w:r>
          <w:r>
            <w:fldChar w:fldCharType="separate"/>
          </w:r>
          <w:r>
            <w:rPr>
              <w:rStyle w:val="39"/>
            </w:rPr>
            <w:t>5.7 审核员</w:t>
          </w:r>
          <w:r>
            <w:rPr>
              <w:rFonts w:hint="eastAsia"/>
            </w:rPr>
            <w:tab/>
          </w:r>
          <w:r>
            <w:rPr>
              <w:rFonts w:hint="eastAsia"/>
            </w:rPr>
            <w:fldChar w:fldCharType="begin"/>
          </w:r>
          <w:r>
            <w:rPr>
              <w:rFonts w:hint="eastAsia"/>
            </w:rPr>
            <w:instrText xml:space="preserve"> </w:instrText>
          </w:r>
          <w:r>
            <w:instrText xml:space="preserve">PAGEREF _Toc240124623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0823347E">
          <w:pPr>
            <w:pStyle w:val="29"/>
            <w:rPr>
              <w:rFonts w:asciiTheme="minorHAnsi" w:hAnsiTheme="minorHAnsi" w:eastAsiaTheme="minorEastAsia" w:cstheme="minorBidi"/>
              <w:sz w:val="22"/>
              <w:szCs w:val="24"/>
              <w14:ligatures w14:val="standardContextual"/>
            </w:rPr>
          </w:pPr>
          <w:r>
            <w:fldChar w:fldCharType="begin"/>
          </w:r>
          <w:r>
            <w:instrText xml:space="preserve"> HYPERLINK \l "_Toc240124624" </w:instrText>
          </w:r>
          <w:r>
            <w:fldChar w:fldCharType="separate"/>
          </w:r>
          <w:r>
            <w:rPr>
              <w:rStyle w:val="39"/>
            </w:rPr>
            <w:t>6 培训和经历</w:t>
          </w:r>
          <w:r>
            <w:rPr>
              <w:rFonts w:hint="eastAsia"/>
            </w:rPr>
            <w:tab/>
          </w:r>
          <w:r>
            <w:rPr>
              <w:rFonts w:hint="eastAsia"/>
            </w:rPr>
            <w:fldChar w:fldCharType="begin"/>
          </w:r>
          <w:r>
            <w:rPr>
              <w:rFonts w:hint="eastAsia"/>
            </w:rPr>
            <w:instrText xml:space="preserve"> </w:instrText>
          </w:r>
          <w:r>
            <w:instrText xml:space="preserve">PAGEREF _Toc240124624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49A1732E">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"_Toc240124625" </w:instrText>
          </w:r>
          <w:r>
            <w:fldChar w:fldCharType="separate"/>
          </w:r>
          <w:r>
            <w:rPr>
              <w:rStyle w:val="39"/>
            </w:rPr>
            <w:t>6.1 培训</w:t>
          </w:r>
          <w:r>
            <w:rPr>
              <w:rFonts w:hint="eastAsia"/>
            </w:rPr>
            <w:tab/>
          </w:r>
          <w:r>
            <w:rPr>
              <w:rFonts w:hint="eastAsia"/>
            </w:rPr>
            <w:fldChar w:fldCharType="begin"/>
          </w:r>
          <w:r>
            <w:rPr>
              <w:rFonts w:hint="eastAsia"/>
            </w:rPr>
            <w:instrText xml:space="preserve"> </w:instrText>
          </w:r>
          <w:r>
            <w:instrText xml:space="preserve">PAGEREF _Toc240124625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51CC8865">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"_Toc240124626" </w:instrText>
          </w:r>
          <w:r>
            <w:fldChar w:fldCharType="separate"/>
          </w:r>
          <w:r>
            <w:rPr>
              <w:rStyle w:val="39"/>
            </w:rPr>
            <w:t>6.2 培训和考试人员</w:t>
          </w:r>
          <w:r>
            <w:rPr>
              <w:rFonts w:hint="eastAsia"/>
            </w:rPr>
            <w:tab/>
          </w:r>
          <w:r>
            <w:rPr>
              <w:rFonts w:hint="eastAsia"/>
            </w:rPr>
            <w:fldChar w:fldCharType="begin"/>
          </w:r>
          <w:r>
            <w:rPr>
              <w:rFonts w:hint="eastAsia"/>
            </w:rPr>
            <w:instrText xml:space="preserve"> </w:instrText>
          </w:r>
          <w:r>
            <w:instrText xml:space="preserve">PAGEREF _Toc240124626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2E997EFB">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"_Toc240124627" </w:instrText>
          </w:r>
          <w:r>
            <w:fldChar w:fldCharType="separate"/>
          </w:r>
          <w:r>
            <w:rPr>
              <w:rStyle w:val="39"/>
            </w:rPr>
            <w:t>6.3 经历</w:t>
          </w:r>
          <w:r>
            <w:rPr>
              <w:rFonts w:hint="eastAsia"/>
            </w:rPr>
            <w:tab/>
          </w:r>
          <w:r>
            <w:rPr>
              <w:rFonts w:hint="eastAsia"/>
            </w:rPr>
            <w:fldChar w:fldCharType="begin"/>
          </w:r>
          <w:r>
            <w:rPr>
              <w:rFonts w:hint="eastAsia"/>
            </w:rPr>
            <w:instrText xml:space="preserve"> </w:instrText>
          </w:r>
          <w:r>
            <w:instrText xml:space="preserve">PAGEREF _Toc240124627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51A9396D">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"_Toc240124628" </w:instrText>
          </w:r>
          <w:r>
            <w:fldChar w:fldCharType="separate"/>
          </w:r>
          <w:r>
            <w:rPr>
              <w:rStyle w:val="39"/>
            </w:rPr>
            <w:t>6.4 其它NDT方法</w:t>
          </w:r>
          <w:r>
            <w:rPr>
              <w:rFonts w:hint="eastAsia"/>
            </w:rPr>
            <w:tab/>
          </w:r>
          <w:r>
            <w:rPr>
              <w:rFonts w:hint="eastAsia"/>
            </w:rPr>
            <w:fldChar w:fldCharType="begin"/>
          </w:r>
          <w:r>
            <w:rPr>
              <w:rFonts w:hint="eastAsia"/>
            </w:rPr>
            <w:instrText xml:space="preserve"> </w:instrText>
          </w:r>
          <w:r>
            <w:instrText xml:space="preserve">PAGEREF _Toc240124628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640CE70F">
          <w:pPr>
            <w:pStyle w:val="29"/>
            <w:rPr>
              <w:rFonts w:asciiTheme="minorHAnsi" w:hAnsiTheme="minorHAnsi" w:eastAsiaTheme="minorEastAsia" w:cstheme="minorBidi"/>
              <w:sz w:val="22"/>
              <w:szCs w:val="24"/>
              <w14:ligatures w14:val="standardContextual"/>
            </w:rPr>
          </w:pPr>
          <w:r>
            <w:fldChar w:fldCharType="begin"/>
          </w:r>
          <w:r>
            <w:instrText xml:space="preserve"> HYPERLINK \l "_Toc240124631" </w:instrText>
          </w:r>
          <w:r>
            <w:fldChar w:fldCharType="separate"/>
          </w:r>
          <w:r>
            <w:rPr>
              <w:rStyle w:val="39"/>
            </w:rPr>
            <w:t>7 考试</w:t>
          </w:r>
          <w:r>
            <w:rPr>
              <w:rFonts w:hint="eastAsia"/>
            </w:rPr>
            <w:tab/>
          </w:r>
          <w:r>
            <w:rPr>
              <w:rFonts w:hint="eastAsia"/>
            </w:rPr>
            <w:fldChar w:fldCharType="begin"/>
          </w:r>
          <w:r>
            <w:rPr>
              <w:rFonts w:hint="eastAsia"/>
            </w:rPr>
            <w:instrText xml:space="preserve"> </w:instrText>
          </w:r>
          <w:r>
            <w:instrText xml:space="preserve">PAGEREF _Toc240124631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5E0909D5">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"_Toc240124632" </w:instrText>
          </w:r>
          <w:r>
            <w:fldChar w:fldCharType="separate"/>
          </w:r>
          <w:r>
            <w:rPr>
              <w:rStyle w:val="39"/>
            </w:rPr>
            <w:t>7.1 考试要求</w:t>
          </w:r>
          <w:r>
            <w:rPr>
              <w:rFonts w:hint="eastAsia"/>
            </w:rPr>
            <w:tab/>
          </w:r>
          <w:r>
            <w:rPr>
              <w:rFonts w:hint="eastAsia"/>
            </w:rPr>
            <w:fldChar w:fldCharType="begin"/>
          </w:r>
          <w:r>
            <w:rPr>
              <w:rFonts w:hint="eastAsia"/>
            </w:rPr>
            <w:instrText xml:space="preserve"> </w:instrText>
          </w:r>
          <w:r>
            <w:instrText xml:space="preserve">PAGEREF _Toc240124632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1BCB12FD">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"_Toc240124633" </w:instrText>
          </w:r>
          <w:r>
            <w:fldChar w:fldCharType="separate"/>
          </w:r>
          <w:r>
            <w:rPr>
              <w:rStyle w:val="39"/>
            </w:rPr>
            <w:t>7.2 考试管理</w:t>
          </w:r>
          <w:r>
            <w:rPr>
              <w:rFonts w:hint="eastAsia"/>
            </w:rPr>
            <w:tab/>
          </w:r>
          <w:r>
            <w:rPr>
              <w:rFonts w:hint="eastAsia"/>
            </w:rPr>
            <w:fldChar w:fldCharType="begin"/>
          </w:r>
          <w:r>
            <w:rPr>
              <w:rFonts w:hint="eastAsia"/>
            </w:rPr>
            <w:instrText xml:space="preserve"> </w:instrText>
          </w:r>
          <w:r>
            <w:instrText xml:space="preserve">PAGEREF _Toc240124633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58A428E2">
          <w:pPr>
            <w:pStyle w:val="29"/>
            <w:rPr>
              <w:rFonts w:asciiTheme="minorHAnsi" w:hAnsiTheme="minorHAnsi" w:eastAsiaTheme="minorEastAsia" w:cstheme="minorBidi"/>
              <w:sz w:val="22"/>
              <w:szCs w:val="24"/>
              <w14:ligatures w14:val="standardContextual"/>
            </w:rPr>
          </w:pPr>
          <w:r>
            <w:fldChar w:fldCharType="begin"/>
          </w:r>
          <w:r>
            <w:instrText xml:space="preserve"> HYPERLINK \l "_Toc240124634" </w:instrText>
          </w:r>
          <w:r>
            <w:fldChar w:fldCharType="separate"/>
          </w:r>
          <w:r>
            <w:rPr>
              <w:rStyle w:val="39"/>
            </w:rPr>
            <w:t>8 资格认证</w:t>
          </w:r>
          <w:r>
            <w:rPr>
              <w:rFonts w:hint="eastAsia"/>
            </w:rPr>
            <w:tab/>
          </w:r>
          <w:r>
            <w:rPr>
              <w:rFonts w:hint="eastAsia"/>
            </w:rPr>
            <w:fldChar w:fldCharType="begin"/>
          </w:r>
          <w:r>
            <w:rPr>
              <w:rFonts w:hint="eastAsia"/>
            </w:rPr>
            <w:instrText xml:space="preserve"> </w:instrText>
          </w:r>
          <w:r>
            <w:instrText xml:space="preserve">PAGEREF _Toc240124634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14:paraId="2CC1500D">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"_Toc240124635" </w:instrText>
          </w:r>
          <w:r>
            <w:fldChar w:fldCharType="separate"/>
          </w:r>
          <w:r>
            <w:rPr>
              <w:rStyle w:val="39"/>
            </w:rPr>
            <w:t>8.1 概述</w:t>
          </w:r>
          <w:r>
            <w:rPr>
              <w:rFonts w:hint="eastAsia"/>
            </w:rPr>
            <w:tab/>
          </w:r>
          <w:r>
            <w:rPr>
              <w:rFonts w:hint="eastAsia"/>
            </w:rPr>
            <w:fldChar w:fldCharType="begin"/>
          </w:r>
          <w:r>
            <w:rPr>
              <w:rFonts w:hint="eastAsia"/>
            </w:rPr>
            <w:instrText xml:space="preserve"> </w:instrText>
          </w:r>
          <w:r>
            <w:instrText xml:space="preserve">PAGEREF _Toc240124635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14:paraId="0F28D66C">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"_Toc240124636" </w:instrText>
          </w:r>
          <w:r>
            <w:fldChar w:fldCharType="separate"/>
          </w:r>
          <w:r>
            <w:rPr>
              <w:rStyle w:val="39"/>
            </w:rPr>
            <w:t>8.2 记录</w:t>
          </w:r>
          <w:r>
            <w:rPr>
              <w:rFonts w:hint="eastAsia"/>
            </w:rPr>
            <w:tab/>
          </w:r>
          <w:r>
            <w:rPr>
              <w:rFonts w:hint="eastAsia"/>
            </w:rPr>
            <w:fldChar w:fldCharType="begin"/>
          </w:r>
          <w:r>
            <w:rPr>
              <w:rFonts w:hint="eastAsia"/>
            </w:rPr>
            <w:instrText xml:space="preserve"> </w:instrText>
          </w:r>
          <w:r>
            <w:instrText xml:space="preserve">PAGEREF _Toc240124636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14:paraId="2CB69C97">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"_Toc240124637" </w:instrText>
          </w:r>
          <w:r>
            <w:fldChar w:fldCharType="separate"/>
          </w:r>
          <w:r>
            <w:rPr>
              <w:rStyle w:val="39"/>
            </w:rPr>
            <w:t>8.3 认证失效</w:t>
          </w:r>
          <w:r>
            <w:rPr>
              <w:rFonts w:hint="eastAsia"/>
            </w:rPr>
            <w:tab/>
          </w:r>
          <w:r>
            <w:rPr>
              <w:rFonts w:hint="eastAsia"/>
            </w:rPr>
            <w:fldChar w:fldCharType="begin"/>
          </w:r>
          <w:r>
            <w:rPr>
              <w:rFonts w:hint="eastAsia"/>
            </w:rPr>
            <w:instrText xml:space="preserve"> </w:instrText>
          </w:r>
          <w:r>
            <w:instrText xml:space="preserve">PAGEREF _Toc240124637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74A21EE6">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"_Toc240124638" </w:instrText>
          </w:r>
          <w:r>
            <w:fldChar w:fldCharType="separate"/>
          </w:r>
          <w:r>
            <w:rPr>
              <w:rStyle w:val="39"/>
            </w:rPr>
            <w:t>8.4 认证恢复</w:t>
          </w:r>
          <w:r>
            <w:rPr>
              <w:rFonts w:hint="eastAsia"/>
            </w:rPr>
            <w:tab/>
          </w:r>
          <w:r>
            <w:rPr>
              <w:rFonts w:hint="eastAsia"/>
            </w:rPr>
            <w:fldChar w:fldCharType="begin"/>
          </w:r>
          <w:r>
            <w:rPr>
              <w:rFonts w:hint="eastAsia"/>
            </w:rPr>
            <w:instrText xml:space="preserve"> </w:instrText>
          </w:r>
          <w:r>
            <w:instrText xml:space="preserve">PAGEREF _Toc240124638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0A8859CA">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"_Toc240124639" </w:instrText>
          </w:r>
          <w:r>
            <w:fldChar w:fldCharType="separate"/>
          </w:r>
          <w:r>
            <w:rPr>
              <w:rStyle w:val="39"/>
            </w:rPr>
            <w:t>8.5 重新</w:t>
          </w:r>
          <w:r>
            <w:rPr>
              <w:rStyle w:val="39"/>
              <w:rFonts w:hAnsi="Arial"/>
            </w:rPr>
            <w:t>认证</w:t>
          </w:r>
          <w:r>
            <w:rPr>
              <w:rFonts w:hint="eastAsia"/>
            </w:rPr>
            <w:tab/>
          </w:r>
          <w:r>
            <w:rPr>
              <w:rFonts w:hint="eastAsia"/>
            </w:rPr>
            <w:fldChar w:fldCharType="begin"/>
          </w:r>
          <w:r>
            <w:rPr>
              <w:rFonts w:hint="eastAsia"/>
            </w:rPr>
            <w:instrText xml:space="preserve"> </w:instrText>
          </w:r>
          <w:r>
            <w:instrText xml:space="preserve">PAGEREF _Toc240124639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20BCD96D">
          <w:pPr>
            <w:pStyle w:val="12"/>
            <w:ind w:firstLine="210"/>
            <w:rPr>
              <w:rFonts w:asciiTheme="minorHAnsi" w:hAnsiTheme="minorHAnsi" w:eastAsiaTheme="minorEastAsia" w:cstheme="minorBidi"/>
              <w:sz w:val="22"/>
              <w:szCs w:val="24"/>
              <w14:ligatures w14:val="standardContextual"/>
            </w:rPr>
          </w:pPr>
          <w:r>
            <w:fldChar w:fldCharType="begin"/>
          </w:r>
          <w:r>
            <w:instrText xml:space="preserve"> HYPERLINK \l "_Toc240124640" </w:instrText>
          </w:r>
          <w:r>
            <w:fldChar w:fldCharType="separate"/>
          </w:r>
          <w:r>
            <w:rPr>
              <w:rStyle w:val="39"/>
            </w:rPr>
            <w:t>8.6 年度技能评审</w:t>
          </w:r>
          <w:r>
            <w:rPr>
              <w:rFonts w:hint="eastAsia"/>
            </w:rPr>
            <w:tab/>
          </w:r>
          <w:r>
            <w:rPr>
              <w:rFonts w:hint="eastAsia"/>
            </w:rPr>
            <w:fldChar w:fldCharType="begin"/>
          </w:r>
          <w:r>
            <w:rPr>
              <w:rFonts w:hint="eastAsia"/>
            </w:rPr>
            <w:instrText xml:space="preserve"> </w:instrText>
          </w:r>
          <w:r>
            <w:instrText xml:space="preserve">PAGEREF _Toc240124640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629C8DD1">
          <w:pPr>
            <w:pStyle w:val="20"/>
            <w:spacing w:before="78" w:after="78"/>
            <w:rPr>
              <w:rFonts w:asciiTheme="minorHAnsi" w:hAnsiTheme="minorHAnsi" w:eastAsiaTheme="minorEastAsia" w:cstheme="minorBidi"/>
              <w:sz w:val="22"/>
              <w:szCs w:val="24"/>
              <w14:ligatures w14:val="standardContextual"/>
            </w:rPr>
          </w:pPr>
          <w:r>
            <w:fldChar w:fldCharType="begin"/>
          </w:r>
          <w:r>
            <w:instrText xml:space="preserve"> HYPERLINK \l "_Toc240124643" </w:instrText>
          </w:r>
          <w:r>
            <w:fldChar w:fldCharType="separate"/>
          </w:r>
          <w:r>
            <w:rPr>
              <w:rStyle w:val="39"/>
            </w:rPr>
            <w:t>附　录　A （规范性附录） 3级人员重新</w:t>
          </w:r>
          <w:r>
            <w:rPr>
              <w:rStyle w:val="39"/>
              <w:rFonts w:hAnsi="Arial"/>
            </w:rPr>
            <w:t>认证</w:t>
          </w:r>
          <w:r>
            <w:rPr>
              <w:rStyle w:val="39"/>
            </w:rPr>
            <w:t>学分体系</w:t>
          </w:r>
          <w:r>
            <w:rPr>
              <w:rFonts w:hint="eastAsia"/>
            </w:rPr>
            <w:tab/>
          </w:r>
          <w:r>
            <w:rPr>
              <w:rFonts w:hint="eastAsia"/>
            </w:rPr>
            <w:fldChar w:fldCharType="begin"/>
          </w:r>
          <w:r>
            <w:rPr>
              <w:rFonts w:hint="eastAsia"/>
            </w:rPr>
            <w:instrText xml:space="preserve"> </w:instrText>
          </w:r>
          <w:r>
            <w:instrText xml:space="preserve">PAGEREF _Toc240124643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3C7F85DD">
          <w:pPr>
            <w:pStyle w:val="20"/>
            <w:spacing w:before="78" w:after="78"/>
            <w:rPr>
              <w:rFonts w:asciiTheme="minorHAnsi" w:hAnsiTheme="minorHAnsi" w:eastAsiaTheme="minorEastAsia" w:cstheme="minorBidi"/>
              <w:sz w:val="22"/>
              <w:szCs w:val="24"/>
              <w14:ligatures w14:val="standardContextual"/>
            </w:rPr>
          </w:pPr>
          <w:r>
            <w:fldChar w:fldCharType="begin"/>
          </w:r>
          <w:r>
            <w:instrText xml:space="preserve"> HYPERLINK \l "_Toc240124646" </w:instrText>
          </w:r>
          <w:r>
            <w:fldChar w:fldCharType="separate"/>
          </w:r>
          <w:r>
            <w:rPr>
              <w:rStyle w:val="39"/>
            </w:rPr>
            <w:t>附　录　B（规范性附录）</w:t>
          </w:r>
          <w:r>
            <w:rPr>
              <w:rFonts w:hint="eastAsia" w:asciiTheme="minorEastAsia" w:hAnsiTheme="minorEastAsia" w:eastAsiaTheme="minorEastAsia"/>
              <w:kern w:val="0"/>
              <w:szCs w:val="20"/>
            </w:rPr>
            <w:t>限定1级人员的资格鉴定与认证</w:t>
          </w:r>
          <w:r>
            <w:rPr>
              <w:rFonts w:hint="eastAsia"/>
            </w:rPr>
            <w:tab/>
          </w:r>
          <w:r>
            <w:rPr>
              <w:rFonts w:hint="eastAsia"/>
            </w:rPr>
            <w:fldChar w:fldCharType="begin"/>
          </w:r>
          <w:r>
            <w:rPr>
              <w:rFonts w:hint="eastAsia"/>
            </w:rPr>
            <w:instrText xml:space="preserve"> </w:instrText>
          </w:r>
          <w:r>
            <w:instrText xml:space="preserve">PAGEREF _Toc240124646 \h</w:instrText>
          </w:r>
          <w:r>
            <w:rPr>
              <w:rFonts w:hint="eastAsia"/>
            </w:rPr>
            <w:instrText xml:space="preserve"> </w:instrText>
          </w:r>
          <w:r>
            <w:rPr>
              <w:rFonts w:hint="eastAsia"/>
            </w:rPr>
            <w:fldChar w:fldCharType="separate"/>
          </w:r>
          <w:r>
            <w:t>21</w:t>
          </w:r>
          <w:r>
            <w:rPr>
              <w:rFonts w:hint="eastAsia"/>
            </w:rPr>
            <w:fldChar w:fldCharType="end"/>
          </w:r>
          <w:r>
            <w:rPr>
              <w:rFonts w:hint="eastAsia"/>
            </w:rPr>
            <w:fldChar w:fldCharType="end"/>
          </w:r>
        </w:p>
        <w:p w14:paraId="4A4279E5">
          <w:pPr>
            <w:pStyle w:val="20"/>
            <w:spacing w:before="78" w:after="78"/>
            <w:rPr>
              <w:rFonts w:asciiTheme="minorHAnsi" w:hAnsiTheme="minorHAnsi" w:eastAsiaTheme="minorEastAsia" w:cstheme="minorBidi"/>
              <w:sz w:val="22"/>
              <w:szCs w:val="24"/>
              <w14:ligatures w14:val="standardContextual"/>
            </w:rPr>
          </w:pPr>
          <w:r>
            <w:fldChar w:fldCharType="begin"/>
          </w:r>
          <w:r>
            <w:instrText xml:space="preserve"> HYPERLINK \l "_Toc240124656" </w:instrText>
          </w:r>
          <w:r>
            <w:fldChar w:fldCharType="separate"/>
          </w:r>
          <w:r>
            <w:rPr>
              <w:rStyle w:val="39"/>
            </w:rPr>
            <w:t>附　录　C（规范性附录）</w:t>
          </w:r>
          <w:r>
            <w:rPr>
              <w:rFonts w:hint="eastAsia" w:hAnsi="黑体"/>
            </w:rPr>
            <w:t>初始3级鉴定资格的学分体系</w:t>
          </w:r>
          <w:r>
            <w:rPr>
              <w:rFonts w:hint="eastAsia"/>
            </w:rPr>
            <w:tab/>
          </w:r>
          <w:r>
            <w:rPr>
              <w:rFonts w:hint="eastAsia"/>
            </w:rPr>
            <w:fldChar w:fldCharType="begin"/>
          </w:r>
          <w:r>
            <w:rPr>
              <w:rFonts w:hint="eastAsia"/>
            </w:rPr>
            <w:instrText xml:space="preserve"> </w:instrText>
          </w:r>
          <w:r>
            <w:instrText xml:space="preserve">PAGEREF _Toc240124656 \h</w:instrText>
          </w:r>
          <w:r>
            <w:rPr>
              <w:rFonts w:hint="eastAsia"/>
            </w:rPr>
            <w:instrText xml:space="preserve"> </w:instrText>
          </w:r>
          <w:r>
            <w:rPr>
              <w:rFonts w:hint="eastAsia"/>
            </w:rPr>
            <w:fldChar w:fldCharType="separate"/>
          </w:r>
          <w:r>
            <w:t>23</w:t>
          </w:r>
          <w:r>
            <w:rPr>
              <w:rFonts w:hint="eastAsia"/>
            </w:rPr>
            <w:fldChar w:fldCharType="end"/>
          </w:r>
          <w:r>
            <w:rPr>
              <w:rFonts w:hint="eastAsia"/>
            </w:rPr>
            <w:fldChar w:fldCharType="end"/>
          </w:r>
        </w:p>
        <w:p w14:paraId="17ED3119">
          <w:r>
            <w:rPr>
              <w:b/>
              <w:bCs/>
              <w:lang w:val="zh-CN"/>
            </w:rPr>
            <w:fldChar w:fldCharType="end"/>
          </w:r>
        </w:p>
      </w:sdtContent>
    </w:sdt>
    <w:p w14:paraId="17ED311A">
      <w:pPr>
        <w:jc w:val="center"/>
        <w:rPr>
          <w:rFonts w:hint="eastAsia" w:ascii="黑体" w:hAnsi="黑体" w:eastAsia="黑体"/>
        </w:rPr>
      </w:pPr>
    </w:p>
    <w:p w14:paraId="17ED311B">
      <w:pPr>
        <w:pStyle w:val="112"/>
        <w:rPr>
          <w:color w:val="000000" w:themeColor="text1"/>
          <w14:textFill>
            <w14:solidFill>
              <w14:schemeClr w14:val="tx1"/>
            </w14:solidFill>
          </w14:textFill>
        </w:rPr>
      </w:pPr>
      <w:bookmarkStart w:id="3" w:name="_Toc240124472"/>
      <w:r>
        <w:rPr>
          <w:rFonts w:hint="eastAsia"/>
          <w:color w:val="000000" w:themeColor="text1"/>
          <w14:textFill>
            <w14:solidFill>
              <w14:schemeClr w14:val="tx1"/>
            </w14:solidFill>
          </w14:textFill>
        </w:rPr>
        <w:t>前</w:t>
      </w:r>
      <w:bookmarkStart w:id="4" w:name="BKQY"/>
      <w:r>
        <w:rPr>
          <w:color w:val="000000" w:themeColor="text1"/>
          <w14:textFill>
            <w14:solidFill>
              <w14:schemeClr w14:val="tx1"/>
            </w14:solidFill>
          </w14:textFill>
        </w:rPr>
        <w:t>  </w:t>
      </w:r>
      <w:r>
        <w:rPr>
          <w:rFonts w:hint="eastAsia"/>
          <w:color w:val="000000" w:themeColor="text1"/>
          <w14:textFill>
            <w14:solidFill>
              <w14:schemeClr w14:val="tx1"/>
            </w14:solidFill>
          </w14:textFill>
        </w:rPr>
        <w:t>言</w:t>
      </w:r>
      <w:bookmarkEnd w:id="0"/>
      <w:bookmarkEnd w:id="1"/>
      <w:bookmarkEnd w:id="3"/>
      <w:bookmarkEnd w:id="4"/>
    </w:p>
    <w:p w14:paraId="17ED311C">
      <w:pPr>
        <w:spacing w:line="300" w:lineRule="exact"/>
        <w:ind w:firstLine="42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本标准按照GB/T 1.1</w:t>
      </w:r>
      <w:r>
        <w:rPr>
          <w:rFonts w:hint="eastAsia" w:ascii="宋体" w:hAnsi="宋体"/>
          <w:color w:val="0000FF"/>
        </w:rPr>
        <w:t>－2020</w:t>
      </w:r>
      <w:r>
        <w:rPr>
          <w:rFonts w:hint="eastAsia" w:ascii="宋体" w:hAnsi="宋体"/>
          <w:color w:val="000000" w:themeColor="text1"/>
          <w14:textFill>
            <w14:solidFill>
              <w14:schemeClr w14:val="tx1"/>
            </w14:solidFill>
          </w14:textFill>
        </w:rPr>
        <w:t>给出的规则起草。</w:t>
      </w:r>
    </w:p>
    <w:p w14:paraId="17ED311D">
      <w:pPr>
        <w:spacing w:line="300" w:lineRule="exact"/>
        <w:ind w:firstLine="42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本标准与T</w:t>
      </w:r>
      <w:r>
        <w:rPr>
          <w:rFonts w:ascii="宋体" w:hAnsi="宋体"/>
          <w:color w:val="000000" w:themeColor="text1"/>
          <w14:textFill>
            <w14:solidFill>
              <w14:schemeClr w14:val="tx1"/>
            </w14:solidFill>
          </w14:textFill>
        </w:rPr>
        <w:t>/CAMAC 0001-202</w:t>
      </w:r>
      <w:r>
        <w:rPr>
          <w:rFonts w:hint="eastAsia" w:ascii="宋体" w:hAnsi="宋体"/>
          <w:color w:val="0000FF"/>
        </w:rPr>
        <w:t>3</w:t>
      </w:r>
      <w:r>
        <w:rPr>
          <w:rFonts w:hint="eastAsia" w:ascii="宋体" w:hAnsi="宋体"/>
          <w:color w:val="000000" w:themeColor="text1"/>
          <w14:textFill>
            <w14:solidFill>
              <w14:schemeClr w14:val="tx1"/>
            </w14:solidFill>
          </w14:textFill>
        </w:rPr>
        <w:t>相比主要变化如下：</w:t>
      </w:r>
    </w:p>
    <w:p w14:paraId="17ED311F">
      <w:pPr>
        <w:pStyle w:val="140"/>
        <w:numPr>
          <w:ilvl w:val="0"/>
          <w:numId w:val="12"/>
        </w:numPr>
        <w:spacing w:line="300" w:lineRule="exact"/>
        <w:ind w:firstLineChars="0"/>
        <w:rPr>
          <w:rFonts w:hint="eastAsia" w:ascii="宋体" w:hAnsi="宋体"/>
          <w:color w:val="0000FF"/>
        </w:rPr>
      </w:pPr>
      <w:r>
        <w:rPr>
          <w:rFonts w:hint="eastAsia" w:ascii="宋体" w:hAnsi="宋体"/>
          <w:color w:val="0000FF"/>
        </w:rPr>
        <w:t>增加章节3.1“自动化设备”、3.33“认可的NDT资格鉴定体系”定义；</w:t>
      </w:r>
    </w:p>
    <w:p w14:paraId="50DBFFF0">
      <w:pPr>
        <w:pStyle w:val="140"/>
        <w:numPr>
          <w:ilvl w:val="0"/>
          <w:numId w:val="12"/>
        </w:numPr>
        <w:spacing w:line="300" w:lineRule="exact"/>
        <w:ind w:firstLineChars="0"/>
        <w:rPr>
          <w:rFonts w:hint="eastAsia" w:ascii="宋体" w:hAnsi="宋体"/>
          <w:color w:val="0000FF"/>
        </w:rPr>
      </w:pPr>
      <w:r>
        <w:rPr>
          <w:rFonts w:hint="eastAsia" w:ascii="宋体" w:hAnsi="宋体"/>
          <w:color w:val="0000FF"/>
        </w:rPr>
        <w:t>增加6.3.1 学分体系获取初始3级鉴定资格要求；</w:t>
      </w:r>
    </w:p>
    <w:p w14:paraId="17ED3120">
      <w:pPr>
        <w:pStyle w:val="140"/>
        <w:numPr>
          <w:ilvl w:val="0"/>
          <w:numId w:val="12"/>
        </w:numPr>
        <w:spacing w:line="300" w:lineRule="exact"/>
        <w:ind w:firstLineChars="0"/>
        <w:rPr>
          <w:rFonts w:hint="eastAsia" w:ascii="宋体" w:hAnsi="宋体"/>
          <w:color w:val="0000FF"/>
        </w:rPr>
      </w:pPr>
      <w:r>
        <w:rPr>
          <w:rFonts w:hint="eastAsia" w:ascii="宋体" w:hAnsi="宋体"/>
          <w:color w:val="0000FF"/>
        </w:rPr>
        <w:t>增加7.1.3基础考试要求；</w:t>
      </w:r>
    </w:p>
    <w:p w14:paraId="17ED3121">
      <w:pPr>
        <w:pStyle w:val="140"/>
        <w:numPr>
          <w:ilvl w:val="0"/>
          <w:numId w:val="12"/>
        </w:numPr>
        <w:spacing w:line="300" w:lineRule="exact"/>
        <w:ind w:firstLineChars="0"/>
        <w:rPr>
          <w:rFonts w:hint="eastAsia" w:ascii="宋体" w:hAnsi="宋体"/>
          <w:color w:val="0000FF"/>
        </w:rPr>
      </w:pPr>
      <w:r>
        <w:rPr>
          <w:rFonts w:hint="eastAsia" w:ascii="宋体" w:hAnsi="宋体"/>
          <w:color w:val="0000FF"/>
        </w:rPr>
        <w:t>增加7.2.3 3级人员学分体系重新认证的认证记录要求和附加试件检测时的成绩要求；</w:t>
      </w:r>
    </w:p>
    <w:p w14:paraId="17ED3122">
      <w:pPr>
        <w:pStyle w:val="140"/>
        <w:numPr>
          <w:ilvl w:val="0"/>
          <w:numId w:val="12"/>
        </w:numPr>
        <w:spacing w:line="300" w:lineRule="exact"/>
        <w:ind w:firstLineChars="0"/>
        <w:rPr>
          <w:rFonts w:hint="eastAsia" w:ascii="宋体" w:hAnsi="宋体"/>
          <w:color w:val="0000FF"/>
        </w:rPr>
      </w:pPr>
      <w:r>
        <w:rPr>
          <w:rFonts w:hint="eastAsia" w:ascii="宋体" w:hAnsi="宋体"/>
          <w:color w:val="0000FF"/>
        </w:rPr>
        <w:t>增加7.2.4 重新考试时间范围和次数要求；</w:t>
      </w:r>
    </w:p>
    <w:p w14:paraId="17ED3123">
      <w:pPr>
        <w:pStyle w:val="140"/>
        <w:numPr>
          <w:ilvl w:val="0"/>
          <w:numId w:val="12"/>
        </w:numPr>
        <w:spacing w:line="300" w:lineRule="exact"/>
        <w:ind w:firstLineChars="0"/>
        <w:rPr>
          <w:rFonts w:hint="eastAsia" w:ascii="宋体" w:hAnsi="宋体"/>
          <w:color w:val="0000FF"/>
        </w:rPr>
      </w:pPr>
      <w:r>
        <w:rPr>
          <w:rFonts w:hint="eastAsia" w:ascii="宋体" w:hAnsi="宋体"/>
          <w:color w:val="0000FF"/>
        </w:rPr>
        <w:t>增加8.1 操作自动化设备人员认证要求；</w:t>
      </w:r>
    </w:p>
    <w:p w14:paraId="17ED3124">
      <w:pPr>
        <w:pStyle w:val="140"/>
        <w:numPr>
          <w:ilvl w:val="0"/>
          <w:numId w:val="12"/>
        </w:numPr>
        <w:spacing w:line="300" w:lineRule="exact"/>
        <w:ind w:firstLineChars="0"/>
        <w:rPr>
          <w:rFonts w:hint="eastAsia" w:ascii="宋体" w:hAnsi="宋体"/>
          <w:color w:val="0000FF"/>
        </w:rPr>
      </w:pPr>
      <w:r>
        <w:rPr>
          <w:rFonts w:hint="eastAsia" w:ascii="宋体" w:hAnsi="宋体"/>
          <w:color w:val="0000FF"/>
        </w:rPr>
        <w:t>修订8.3.3 行为不道德作废所有认证的要求；</w:t>
      </w:r>
    </w:p>
    <w:p w14:paraId="17ED3125">
      <w:pPr>
        <w:pStyle w:val="140"/>
        <w:numPr>
          <w:ilvl w:val="0"/>
          <w:numId w:val="12"/>
        </w:numPr>
        <w:spacing w:line="300" w:lineRule="exact"/>
        <w:ind w:firstLineChars="0"/>
        <w:rPr>
          <w:rFonts w:hint="eastAsia" w:ascii="宋体" w:hAnsi="宋体"/>
          <w:color w:val="0000FF"/>
        </w:rPr>
      </w:pPr>
      <w:r>
        <w:rPr>
          <w:rFonts w:hint="eastAsia" w:ascii="宋体" w:hAnsi="宋体"/>
          <w:color w:val="0000FF"/>
        </w:rPr>
        <w:t>修订8.4 认证恢复要求；</w:t>
      </w:r>
    </w:p>
    <w:p w14:paraId="419CF880">
      <w:pPr>
        <w:pStyle w:val="140"/>
        <w:numPr>
          <w:ilvl w:val="0"/>
          <w:numId w:val="12"/>
        </w:numPr>
        <w:spacing w:line="300" w:lineRule="exact"/>
        <w:ind w:firstLineChars="0"/>
        <w:rPr>
          <w:rFonts w:hint="eastAsia" w:ascii="宋体" w:hAnsi="宋体"/>
          <w:color w:val="0000FF"/>
        </w:rPr>
      </w:pPr>
      <w:r>
        <w:rPr>
          <w:rFonts w:hint="eastAsia" w:ascii="宋体" w:hAnsi="宋体"/>
          <w:color w:val="0000FF"/>
        </w:rPr>
        <w:t>增加附录B 限定1级人员的资格鉴定与认证，原要求汇总至附录B；</w:t>
      </w:r>
    </w:p>
    <w:p w14:paraId="0749DD69">
      <w:pPr>
        <w:pStyle w:val="140"/>
        <w:numPr>
          <w:ilvl w:val="0"/>
          <w:numId w:val="12"/>
        </w:numPr>
        <w:spacing w:line="300" w:lineRule="exact"/>
        <w:ind w:firstLineChars="0"/>
        <w:rPr>
          <w:rFonts w:hint="eastAsia" w:ascii="宋体" w:hAnsi="宋体"/>
          <w:color w:val="0000FF"/>
        </w:rPr>
      </w:pPr>
      <w:r>
        <w:rPr>
          <w:rFonts w:hint="eastAsia" w:ascii="宋体" w:hAnsi="宋体"/>
          <w:color w:val="0000FF"/>
        </w:rPr>
        <w:t>增加附录C 初始3级鉴定资格的学分体系；</w:t>
      </w:r>
    </w:p>
    <w:p w14:paraId="23DA31EB">
      <w:pPr>
        <w:pStyle w:val="140"/>
        <w:numPr>
          <w:ilvl w:val="0"/>
          <w:numId w:val="12"/>
        </w:numPr>
        <w:spacing w:line="300" w:lineRule="exact"/>
        <w:ind w:firstLineChars="0"/>
        <w:rPr>
          <w:rFonts w:hint="eastAsia" w:ascii="宋体" w:hAnsi="宋体"/>
          <w:color w:val="0000FF"/>
        </w:rPr>
      </w:pPr>
      <w:r>
        <w:rPr>
          <w:rFonts w:hint="eastAsia" w:ascii="宋体" w:hAnsi="宋体"/>
          <w:color w:val="0000FF"/>
        </w:rPr>
        <w:t>修订全文多处存在歧义或者不通顺的描述。</w:t>
      </w:r>
    </w:p>
    <w:p w14:paraId="17ED3126">
      <w:pPr>
        <w:spacing w:line="300" w:lineRule="exact"/>
        <w:ind w:firstLine="42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本标准由</w:t>
      </w:r>
      <w:r>
        <w:rPr>
          <w:rFonts w:hint="eastAsia" w:ascii="宋体" w:hAnsi="宋体"/>
          <w:color w:val="000000" w:themeColor="text1"/>
          <w:szCs w:val="21"/>
          <w:lang w:eastAsia="zh-CN"/>
          <w14:textFill>
            <w14:solidFill>
              <w14:schemeClr w14:val="tx1"/>
            </w14:solidFill>
          </w14:textFill>
        </w:rPr>
        <w:t>中国民用航空维修协会无损检测人员资格鉴定专业委员会</w:t>
      </w:r>
      <w:r>
        <w:rPr>
          <w:rFonts w:hint="eastAsia" w:ascii="宋体" w:hAnsi="宋体"/>
          <w:color w:val="000000" w:themeColor="text1"/>
          <w:szCs w:val="21"/>
          <w14:textFill>
            <w14:solidFill>
              <w14:schemeClr w14:val="tx1"/>
            </w14:solidFill>
          </w14:textFill>
        </w:rPr>
        <w:t>提出。</w:t>
      </w:r>
    </w:p>
    <w:p w14:paraId="17ED3127">
      <w:pPr>
        <w:spacing w:line="300" w:lineRule="exact"/>
        <w:ind w:firstLine="42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本标准由中国民用航空维修协会批准立项。</w:t>
      </w:r>
    </w:p>
    <w:p w14:paraId="17ED3128">
      <w:pPr>
        <w:spacing w:line="300" w:lineRule="exact"/>
        <w:ind w:firstLine="42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本标准由中国民用航空维修协会归口。</w:t>
      </w:r>
    </w:p>
    <w:p w14:paraId="17ED3129">
      <w:pPr>
        <w:spacing w:line="300" w:lineRule="exact"/>
        <w:ind w:firstLine="420"/>
        <w:rPr>
          <w:rFonts w:hint="eastAsia" w:ascii="宋体" w:hAnsi="宋体"/>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本标准起草单位：中国民用航空维修协会、</w:t>
      </w:r>
      <w:r>
        <w:rPr>
          <w:rFonts w:hint="eastAsia" w:ascii="宋体" w:hAnsi="宋体"/>
          <w:color w:val="000000" w:themeColor="text1"/>
          <w14:textFill>
            <w14:solidFill>
              <w14:schemeClr w14:val="tx1"/>
            </w14:solidFill>
          </w14:textFill>
        </w:rPr>
        <w:t>厦门太古飞机工程有限公司、</w:t>
      </w:r>
      <w:r>
        <w:rPr>
          <w:rFonts w:hint="eastAsia" w:ascii="宋体" w:hAnsi="宋体"/>
          <w:color w:val="000000" w:themeColor="text1"/>
          <w:szCs w:val="21"/>
          <w14:textFill>
            <w14:solidFill>
              <w14:schemeClr w14:val="tx1"/>
            </w14:solidFill>
          </w14:textFill>
        </w:rPr>
        <w:t>北京飞机维修工程有限公司成都分公司、</w:t>
      </w:r>
      <w:r>
        <w:rPr>
          <w:rFonts w:hint="eastAsia" w:ascii="宋体" w:hAnsi="宋体"/>
          <w:color w:val="000000" w:themeColor="text1"/>
          <w14:textFill>
            <w14:solidFill>
              <w14:schemeClr w14:val="tx1"/>
            </w14:solidFill>
          </w14:textFill>
        </w:rPr>
        <w:t>东方航空技术有限公司西北分公司、南航新疆公司飞机维修基地。</w:t>
      </w:r>
    </w:p>
    <w:p w14:paraId="17ED312A">
      <w:pPr>
        <w:spacing w:line="300" w:lineRule="exact"/>
        <w:ind w:firstLine="420"/>
        <w:rPr>
          <w:rFonts w:hint="eastAsia" w:ascii="宋体" w:hAnsi="宋体"/>
        </w:rPr>
      </w:pPr>
      <w:r>
        <w:rPr>
          <w:rFonts w:hint="eastAsia" w:ascii="宋体" w:hAnsi="宋体"/>
        </w:rPr>
        <w:t>本标准主要起草人：吴溪浚、雷跃、付杭君、周斌、陈江明、刘兆江、严兵、高聪颖。</w:t>
      </w:r>
    </w:p>
    <w:p w14:paraId="17ED312B">
      <w:pPr>
        <w:spacing w:line="300" w:lineRule="exact"/>
        <w:ind w:firstLine="420"/>
        <w:rPr>
          <w:rFonts w:hint="eastAsia" w:ascii="宋体" w:hAnsi="宋体"/>
        </w:rPr>
      </w:pPr>
      <w:r>
        <w:rPr>
          <w:rFonts w:hint="eastAsia" w:ascii="宋体" w:hAnsi="宋体"/>
        </w:rPr>
        <w:t>本标准代替</w:t>
      </w:r>
      <w:r>
        <w:rPr>
          <w:rFonts w:ascii="宋体" w:hAnsi="宋体"/>
        </w:rPr>
        <w:t>T/CAMAC 0001-202</w:t>
      </w:r>
      <w:r>
        <w:rPr>
          <w:rFonts w:hint="eastAsia" w:ascii="宋体" w:hAnsi="宋体"/>
          <w:color w:val="0000FF"/>
        </w:rPr>
        <w:t>3</w:t>
      </w:r>
      <w:r>
        <w:rPr>
          <w:rFonts w:hint="eastAsia" w:ascii="宋体" w:hAnsi="宋体"/>
        </w:rPr>
        <w:t>《民用航空无损检测人员资格鉴定与认证》。</w:t>
      </w:r>
    </w:p>
    <w:p w14:paraId="17ED312C">
      <w:pPr>
        <w:spacing w:line="300" w:lineRule="exact"/>
        <w:ind w:firstLine="420"/>
        <w:rPr>
          <w:rFonts w:hint="eastAsia" w:ascii="宋体" w:hAnsi="宋体"/>
        </w:rPr>
      </w:pPr>
      <w:r>
        <w:rPr>
          <w:rFonts w:hint="eastAsia" w:ascii="宋体" w:hAnsi="宋体"/>
        </w:rPr>
        <w:t>本标准历次版本发布情况为：M</w:t>
      </w:r>
      <w:r>
        <w:rPr>
          <w:rFonts w:ascii="宋体" w:hAnsi="宋体"/>
        </w:rPr>
        <w:t>H/T 3001-1995</w:t>
      </w:r>
      <w:r>
        <w:rPr>
          <w:rFonts w:hint="eastAsia" w:ascii="宋体" w:hAnsi="宋体"/>
        </w:rPr>
        <w:t>、M</w:t>
      </w:r>
      <w:r>
        <w:rPr>
          <w:rFonts w:ascii="宋体" w:hAnsi="宋体"/>
        </w:rPr>
        <w:t>H/T 3001-2004</w:t>
      </w:r>
      <w:r>
        <w:rPr>
          <w:rFonts w:hint="eastAsia" w:ascii="宋体" w:hAnsi="宋体"/>
        </w:rPr>
        <w:t>、M</w:t>
      </w:r>
      <w:r>
        <w:rPr>
          <w:rFonts w:ascii="宋体" w:hAnsi="宋体"/>
        </w:rPr>
        <w:t>H/T 3001-2012</w:t>
      </w:r>
      <w:r>
        <w:rPr>
          <w:rFonts w:hint="eastAsia" w:ascii="宋体" w:hAnsi="宋体"/>
        </w:rPr>
        <w:t>、</w:t>
      </w:r>
      <w:r>
        <w:rPr>
          <w:rFonts w:ascii="宋体" w:hAnsi="宋体"/>
        </w:rPr>
        <w:t>T/CAMAC 0001-2020</w:t>
      </w:r>
      <w:r>
        <w:rPr>
          <w:rFonts w:hint="eastAsia" w:ascii="宋体" w:hAnsi="宋体"/>
        </w:rPr>
        <w:t>、</w:t>
      </w:r>
      <w:r>
        <w:rPr>
          <w:rFonts w:hint="eastAsia" w:ascii="宋体" w:hAnsi="宋体"/>
          <w:color w:val="0000FF"/>
        </w:rPr>
        <w:t>T/CAMAC 0001-2023</w:t>
      </w:r>
      <w:r>
        <w:rPr>
          <w:rFonts w:hint="eastAsia" w:ascii="宋体" w:hAnsi="宋体"/>
        </w:rPr>
        <w:t>。</w:t>
      </w:r>
    </w:p>
    <w:p w14:paraId="17ED312D">
      <w:pPr>
        <w:spacing w:line="300" w:lineRule="exact"/>
        <w:ind w:firstLine="420"/>
        <w:rPr>
          <w:rFonts w:hint="eastAsia" w:ascii="宋体" w:hAnsi="宋体"/>
        </w:rPr>
      </w:pPr>
      <w:r>
        <w:rPr>
          <w:rFonts w:hint="eastAsia" w:ascii="宋体" w:hAnsi="宋体"/>
        </w:rPr>
        <w:t>本标准在技术</w:t>
      </w:r>
      <w:r>
        <w:rPr>
          <w:rFonts w:hint="eastAsia" w:ascii="宋体" w:hAnsi="宋体"/>
          <w:szCs w:val="21"/>
        </w:rPr>
        <w:t>内容上与NAS 410第</w:t>
      </w:r>
      <w:r>
        <w:rPr>
          <w:rFonts w:hint="eastAsia" w:ascii="宋体" w:hAnsi="宋体"/>
          <w:color w:val="0000FF"/>
          <w:szCs w:val="21"/>
        </w:rPr>
        <w:t>6</w:t>
      </w:r>
      <w:r>
        <w:rPr>
          <w:rFonts w:hint="eastAsia" w:ascii="宋体" w:hAnsi="宋体"/>
          <w:szCs w:val="21"/>
        </w:rPr>
        <w:t>次修改版（</w:t>
      </w:r>
      <w:r>
        <w:rPr>
          <w:rFonts w:hint="eastAsia" w:ascii="宋体" w:hAnsi="宋体"/>
          <w:color w:val="0000FF"/>
          <w:szCs w:val="21"/>
        </w:rPr>
        <w:t>2025年12月</w:t>
      </w:r>
      <w:r>
        <w:rPr>
          <w:rFonts w:hint="eastAsia" w:ascii="宋体" w:hAnsi="宋体"/>
          <w:szCs w:val="21"/>
        </w:rPr>
        <w:t>）等效。</w:t>
      </w:r>
    </w:p>
    <w:p w14:paraId="17ED312E">
      <w:pPr>
        <w:pStyle w:val="24"/>
        <w:rPr>
          <w:rFonts w:hint="eastAsia" w:hAnsi="宋体"/>
          <w:color w:val="000000" w:themeColor="text1"/>
          <w14:textFill>
            <w14:solidFill>
              <w14:schemeClr w14:val="tx1"/>
            </w14:solidFill>
          </w14:textFill>
        </w:rPr>
      </w:pPr>
    </w:p>
    <w:p w14:paraId="17ED312F">
      <w:pPr>
        <w:pStyle w:val="24"/>
        <w:rPr>
          <w:color w:val="000000" w:themeColor="text1"/>
          <w14:textFill>
            <w14:solidFill>
              <w14:schemeClr w14:val="tx1"/>
            </w14:solidFill>
          </w14:textFill>
        </w:rPr>
      </w:pPr>
    </w:p>
    <w:p w14:paraId="17ED3130">
      <w:pPr>
        <w:pStyle w:val="24"/>
        <w:rPr>
          <w:color w:val="000000" w:themeColor="text1"/>
          <w14:textFill>
            <w14:solidFill>
              <w14:schemeClr w14:val="tx1"/>
            </w14:solidFill>
          </w14:textFill>
        </w:rPr>
        <w:sectPr>
          <w:headerReference r:id="rId4" w:type="first"/>
          <w:headerReference r:id="rId3" w:type="default"/>
          <w:footerReference r:id="rId5" w:type="default"/>
          <w:pgSz w:w="11906" w:h="16838"/>
          <w:pgMar w:top="567" w:right="1134" w:bottom="1134" w:left="1418" w:header="1418" w:footer="1134" w:gutter="0"/>
          <w:pgNumType w:fmt="upperRoman" w:start="1"/>
          <w:cols w:space="425" w:num="1"/>
          <w:formProt w:val="0"/>
          <w:titlePg/>
          <w:docGrid w:type="lines" w:linePitch="312" w:charSpace="0"/>
        </w:sectPr>
      </w:pPr>
    </w:p>
    <w:p w14:paraId="17ED3131">
      <w:pPr>
        <w:jc w:val="center"/>
        <w:rPr>
          <w:rFonts w:hAnsi="黑体"/>
          <w:szCs w:val="32"/>
        </w:rPr>
      </w:pPr>
      <w:bookmarkStart w:id="5" w:name="_Toc136263673"/>
      <w:r>
        <w:rPr>
          <w:rFonts w:hint="eastAsia" w:ascii="黑体" w:hAnsi="黑体" w:eastAsia="黑体"/>
          <w:sz w:val="32"/>
          <w:szCs w:val="32"/>
        </w:rPr>
        <w:t>民用航</w:t>
      </w:r>
      <w:bookmarkStart w:id="6" w:name="StandardName"/>
      <w:r>
        <w:rPr>
          <w:rFonts w:hint="eastAsia" w:ascii="黑体" w:hAnsi="黑体" w:eastAsia="黑体"/>
          <w:sz w:val="32"/>
          <w:szCs w:val="32"/>
        </w:rPr>
        <w:t>空无损检测人员资格鉴定</w:t>
      </w:r>
      <w:bookmarkEnd w:id="6"/>
      <w:r>
        <w:rPr>
          <w:rFonts w:hint="eastAsia" w:ascii="黑体" w:hAnsi="黑体" w:eastAsia="黑体"/>
          <w:sz w:val="32"/>
          <w:szCs w:val="32"/>
        </w:rPr>
        <w:t>与认证</w:t>
      </w:r>
      <w:bookmarkEnd w:id="5"/>
    </w:p>
    <w:p w14:paraId="17ED3132">
      <w:pPr>
        <w:pStyle w:val="45"/>
        <w:spacing w:before="312" w:after="312"/>
        <w:rPr>
          <w:color w:val="000000" w:themeColor="text1"/>
          <w14:textFill>
            <w14:solidFill>
              <w14:schemeClr w14:val="tx1"/>
            </w14:solidFill>
          </w14:textFill>
        </w:rPr>
      </w:pPr>
      <w:bookmarkStart w:id="7" w:name="_Toc303149812"/>
      <w:bookmarkStart w:id="8" w:name="_Toc240124473"/>
      <w:bookmarkStart w:id="9" w:name="_Toc309649090"/>
      <w:bookmarkStart w:id="10" w:name="_Toc303149778"/>
      <w:bookmarkStart w:id="11" w:name="_Toc314487171"/>
      <w:bookmarkStart w:id="12" w:name="_Toc303780189"/>
      <w:bookmarkStart w:id="13" w:name="_Toc314478366"/>
      <w:bookmarkStart w:id="14" w:name="_Toc316393921"/>
      <w:r>
        <w:rPr>
          <w:rFonts w:hint="eastAsia"/>
          <w:color w:val="000000" w:themeColor="text1"/>
          <w14:textFill>
            <w14:solidFill>
              <w14:schemeClr w14:val="tx1"/>
            </w14:solidFill>
          </w14:textFill>
        </w:rPr>
        <w:t>范围</w:t>
      </w:r>
      <w:bookmarkEnd w:id="7"/>
      <w:bookmarkEnd w:id="8"/>
      <w:bookmarkEnd w:id="9"/>
      <w:bookmarkEnd w:id="10"/>
      <w:bookmarkEnd w:id="11"/>
      <w:bookmarkEnd w:id="12"/>
      <w:bookmarkEnd w:id="13"/>
      <w:bookmarkEnd w:id="14"/>
    </w:p>
    <w:p w14:paraId="17ED3133">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本标准规定了在民用航空维护、维修和翻修行业中从事无损检测（NDT）工作的人员资格鉴定与认证的</w:t>
      </w:r>
      <w:r>
        <w:rPr>
          <w:color w:val="000000" w:themeColor="text1"/>
          <w14:textFill>
            <w14:solidFill>
              <w14:schemeClr w14:val="tx1"/>
            </w14:solidFill>
          </w14:textFill>
        </w:rPr>
        <w:t>最低</w:t>
      </w:r>
      <w:r>
        <w:rPr>
          <w:rFonts w:hint="eastAsia"/>
          <w:color w:val="000000" w:themeColor="text1"/>
          <w14:textFill>
            <w14:solidFill>
              <w14:schemeClr w14:val="tx1"/>
            </w14:solidFill>
          </w14:textFill>
        </w:rPr>
        <w:t>要求。</w:t>
      </w:r>
    </w:p>
    <w:p w14:paraId="17ED3134">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本标准适用于使用渗透检测 ( PT )、磁粉检测 ( MT )、涡流检测 ( ET )、超声检测 ( UT )、射线照相检测 ( RT )、红外热</w:t>
      </w:r>
      <w:r>
        <w:rPr>
          <w:rFonts w:hint="eastAsia"/>
          <w:color w:val="0000FF"/>
        </w:rPr>
        <w:t>成</w:t>
      </w:r>
      <w:r>
        <w:rPr>
          <w:rFonts w:hint="eastAsia"/>
          <w:color w:val="000000" w:themeColor="text1"/>
          <w14:textFill>
            <w14:solidFill>
              <w14:schemeClr w14:val="tx1"/>
            </w14:solidFill>
          </w14:textFill>
        </w:rPr>
        <w:t>像检测 （ IRT ）的</w:t>
      </w:r>
      <w:r>
        <w:rPr>
          <w:rFonts w:hint="eastAsia"/>
          <w:color w:val="0000FF"/>
        </w:rPr>
        <w:t>无损检测</w:t>
      </w:r>
      <w:r>
        <w:rPr>
          <w:rFonts w:hint="eastAsia"/>
          <w:color w:val="000000" w:themeColor="text1"/>
          <w14:textFill>
            <w14:solidFill>
              <w14:schemeClr w14:val="tx1"/>
            </w14:solidFill>
          </w14:textFill>
        </w:rPr>
        <w:t>方法</w:t>
      </w:r>
      <w:r>
        <w:rPr>
          <w:rFonts w:hint="eastAsia"/>
          <w:color w:val="0000FF"/>
        </w:rPr>
        <w:t>或设备</w:t>
      </w:r>
      <w:r>
        <w:rPr>
          <w:rFonts w:hint="eastAsia"/>
          <w:color w:val="000000" w:themeColor="text1"/>
          <w14:textFill>
            <w14:solidFill>
              <w14:schemeClr w14:val="tx1"/>
            </w14:solidFill>
          </w14:textFill>
        </w:rPr>
        <w:t>检测或验收材料、产品、零件、组件和分组件的人员；也适用于</w:t>
      </w:r>
      <w:r>
        <w:rPr>
          <w:rFonts w:hint="eastAsia"/>
          <w:color w:val="0000FF"/>
        </w:rPr>
        <w:t>对所用无损检测方法或设备的技术适宜性直接负责的人员、操作自动解释或评价系统的人员</w:t>
      </w:r>
      <w:r>
        <w:rPr>
          <w:rFonts w:hint="eastAsia"/>
          <w:color w:val="000000" w:themeColor="text1"/>
          <w14:textFill>
            <w14:solidFill>
              <w14:schemeClr w14:val="tx1"/>
            </w14:solidFill>
          </w14:textFill>
        </w:rPr>
        <w:t>、</w:t>
      </w:r>
      <w:r>
        <w:rPr>
          <w:rFonts w:hint="eastAsia"/>
          <w:color w:val="0000FF"/>
        </w:rPr>
        <w:t>批准无损检测工艺规程或作业指导书的人员、审核无损检测设施的人员以及提供无损检测技术支持或培训的人员</w:t>
      </w:r>
      <w:r>
        <w:rPr>
          <w:rFonts w:hint="eastAsia"/>
          <w:color w:val="000000" w:themeColor="text1"/>
          <w14:textFill>
            <w14:solidFill>
              <w14:schemeClr w14:val="tx1"/>
            </w14:solidFill>
          </w14:textFill>
        </w:rPr>
        <w:t>。</w:t>
      </w:r>
    </w:p>
    <w:p w14:paraId="17ED3135">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本标准也适用于使用其他</w:t>
      </w:r>
      <w:r>
        <w:rPr>
          <w:rFonts w:hAnsi="宋体"/>
          <w:color w:val="000000" w:themeColor="text1"/>
          <w:szCs w:val="21"/>
          <w14:textFill>
            <w14:solidFill>
              <w14:schemeClr w14:val="tx1"/>
            </w14:solidFill>
          </w14:textFill>
        </w:rPr>
        <w:t>NDT</w:t>
      </w:r>
      <w:r>
        <w:rPr>
          <w:rFonts w:hint="eastAsia"/>
          <w:color w:val="000000" w:themeColor="text1"/>
          <w14:textFill>
            <w14:solidFill>
              <w14:schemeClr w14:val="tx1"/>
            </w14:solidFill>
          </w14:textFill>
        </w:rPr>
        <w:t>方法的人员资格鉴定与认证。这些方法包括但不限于:声发射检测、中子射线照相检测、渗漏检测、全息照相检测或错位散斑干涉检测等。对于这些方法的培训、经历以及考试的要求，可以由</w:t>
      </w:r>
      <w:r>
        <w:rPr>
          <w:rFonts w:hint="eastAsia"/>
          <w:color w:val="000000" w:themeColor="text1"/>
          <w:lang w:eastAsia="zh-CN"/>
          <w14:textFill>
            <w14:solidFill>
              <w14:schemeClr w14:val="tx1"/>
            </w14:solidFill>
          </w14:textFill>
        </w:rPr>
        <w:t>中国民用航空维修协会无损检测人员资格鉴定专业委员会</w:t>
      </w:r>
      <w:r>
        <w:rPr>
          <w:rFonts w:hint="eastAsia"/>
          <w:color w:val="000000" w:themeColor="text1"/>
          <w14:textFill>
            <w14:solidFill>
              <w14:schemeClr w14:val="tx1"/>
            </w14:solidFill>
          </w14:textFill>
        </w:rPr>
        <w:t>或认可的工程机构根据本标准制定。</w:t>
      </w:r>
    </w:p>
    <w:p w14:paraId="77F2DCED">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本标准不适用于NDT管理人员和从事NDT技术开发的研究人员，以及经相应方法的3级人员批准，使用直读式仪器执行特定检测的人员。</w:t>
      </w:r>
    </w:p>
    <w:p w14:paraId="3BEA398E">
      <w:pPr>
        <w:pStyle w:val="24"/>
        <w:rPr>
          <w:color w:val="0000FF"/>
        </w:rPr>
      </w:pPr>
      <w:r>
        <w:rPr>
          <w:rFonts w:hint="eastAsia"/>
          <w:color w:val="0000FF"/>
        </w:rPr>
        <w:t>已依据T/CAMAC 0001先前版本取得认证的人员，在其当前认证到期前，无需按本文件的要求重新认证。</w:t>
      </w:r>
    </w:p>
    <w:p w14:paraId="17ED3137">
      <w:pPr>
        <w:pStyle w:val="45"/>
        <w:spacing w:before="312" w:after="312"/>
        <w:rPr>
          <w:color w:val="000000" w:themeColor="text1"/>
          <w14:textFill>
            <w14:solidFill>
              <w14:schemeClr w14:val="tx1"/>
            </w14:solidFill>
          </w14:textFill>
        </w:rPr>
      </w:pPr>
      <w:bookmarkStart w:id="15" w:name="_Toc316393922"/>
      <w:bookmarkStart w:id="16" w:name="_Toc309649091"/>
      <w:bookmarkStart w:id="17" w:name="_Toc314478367"/>
      <w:bookmarkStart w:id="18" w:name="_Toc314487172"/>
      <w:bookmarkStart w:id="19" w:name="_Toc240124474"/>
      <w:r>
        <w:rPr>
          <w:rFonts w:hint="eastAsia"/>
          <w:color w:val="000000" w:themeColor="text1"/>
          <w14:textFill>
            <w14:solidFill>
              <w14:schemeClr w14:val="tx1"/>
            </w14:solidFill>
          </w14:textFill>
        </w:rPr>
        <w:t>规范性引用文件</w:t>
      </w:r>
      <w:bookmarkEnd w:id="15"/>
      <w:bookmarkEnd w:id="16"/>
      <w:bookmarkEnd w:id="17"/>
      <w:bookmarkEnd w:id="18"/>
      <w:bookmarkEnd w:id="19"/>
    </w:p>
    <w:p w14:paraId="17ED3138">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下列文件对于本标准的应用是必不可少的。凡是标注日期的引用文件，仅所标注日期的版本适用于本标准。凡是未标注日期的引用文件，其最新版本（包括所有的修改单）适用于本标准。如果本标准和在此引用的参考文件发生冲突时，以本标准的要求为主。本标准内容不能替代适用的法律和法规，除非已得到特别的许可。</w:t>
      </w:r>
    </w:p>
    <w:p w14:paraId="17ED3139">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GB/T 20737  无损检测  通用术语和定义</w:t>
      </w:r>
    </w:p>
    <w:p w14:paraId="17ED313A">
      <w:pPr>
        <w:ind w:firstLine="420" w:firstLineChars="200"/>
        <w:jc w:val="left"/>
        <w:rPr>
          <w:rFonts w:ascii="宋体"/>
          <w:color w:val="000000" w:themeColor="text1"/>
          <w:kern w:val="0"/>
          <w:szCs w:val="20"/>
          <w14:textFill>
            <w14:solidFill>
              <w14:schemeClr w14:val="tx1"/>
            </w14:solidFill>
          </w14:textFill>
        </w:rPr>
      </w:pPr>
      <w:r>
        <w:rPr>
          <w:rFonts w:hint="eastAsia" w:ascii="宋体"/>
          <w:color w:val="000000" w:themeColor="text1"/>
          <w:kern w:val="0"/>
          <w:szCs w:val="20"/>
          <w14:textFill>
            <w14:solidFill>
              <w14:schemeClr w14:val="tx1"/>
            </w14:solidFill>
          </w14:textFill>
        </w:rPr>
        <w:t>EN4179：20</w:t>
      </w:r>
      <w:r>
        <w:rPr>
          <w:rFonts w:ascii="宋体"/>
          <w:color w:val="000000" w:themeColor="text1"/>
          <w:kern w:val="0"/>
          <w:szCs w:val="20"/>
          <w14:textFill>
            <w14:solidFill>
              <w14:schemeClr w14:val="tx1"/>
            </w14:solidFill>
          </w14:textFill>
        </w:rPr>
        <w:t>2</w:t>
      </w:r>
      <w:r>
        <w:rPr>
          <w:rFonts w:ascii="宋体"/>
          <w:color w:val="0000FF"/>
          <w:kern w:val="0"/>
          <w:szCs w:val="20"/>
        </w:rPr>
        <w:t>6</w:t>
      </w:r>
      <w:r>
        <w:rPr>
          <w:rFonts w:hint="eastAsia" w:ascii="宋体"/>
          <w:color w:val="000000" w:themeColor="text1"/>
          <w:kern w:val="0"/>
          <w:szCs w:val="20"/>
          <w14:textFill>
            <w14:solidFill>
              <w14:schemeClr w14:val="tx1"/>
            </w14:solidFill>
          </w14:textFill>
        </w:rPr>
        <w:t xml:space="preserve"> 航空航天系列-无损检测人员资格鉴定与认证</w:t>
      </w:r>
    </w:p>
    <w:p w14:paraId="17ED313B">
      <w:pPr>
        <w:ind w:firstLine="420" w:firstLineChars="200"/>
        <w:jc w:val="left"/>
        <w:rPr>
          <w:color w:val="000000" w:themeColor="text1"/>
          <w14:textFill>
            <w14:solidFill>
              <w14:schemeClr w14:val="tx1"/>
            </w14:solidFill>
          </w14:textFill>
        </w:rPr>
      </w:pPr>
      <w:r>
        <w:rPr>
          <w:rFonts w:hint="eastAsia" w:ascii="宋体"/>
          <w:color w:val="000000" w:themeColor="text1"/>
          <w:kern w:val="0"/>
          <w:szCs w:val="20"/>
          <w14:textFill>
            <w14:solidFill>
              <w14:schemeClr w14:val="tx1"/>
            </w14:solidFill>
          </w14:textFill>
        </w:rPr>
        <w:t>NAS410：2</w:t>
      </w:r>
      <w:r>
        <w:rPr>
          <w:rFonts w:ascii="宋体"/>
          <w:color w:val="000000" w:themeColor="text1"/>
          <w:kern w:val="0"/>
          <w:szCs w:val="20"/>
          <w14:textFill>
            <w14:solidFill>
              <w14:schemeClr w14:val="tx1"/>
            </w14:solidFill>
          </w14:textFill>
        </w:rPr>
        <w:t>02</w:t>
      </w:r>
      <w:r>
        <w:rPr>
          <w:rFonts w:ascii="宋体"/>
          <w:color w:val="0000FF"/>
          <w:kern w:val="0"/>
          <w:szCs w:val="20"/>
        </w:rPr>
        <w:t>5</w:t>
      </w:r>
      <w:r>
        <w:rPr>
          <w:rFonts w:hint="eastAsia" w:ascii="宋体"/>
          <w:color w:val="000000" w:themeColor="text1"/>
          <w:kern w:val="0"/>
          <w:szCs w:val="20"/>
          <w14:textFill>
            <w14:solidFill>
              <w14:schemeClr w14:val="tx1"/>
            </w14:solidFill>
          </w14:textFill>
        </w:rPr>
        <w:t xml:space="preserve"> 无损检</w:t>
      </w:r>
      <w:r>
        <w:rPr>
          <w:rFonts w:hint="eastAsia"/>
          <w:color w:val="000000" w:themeColor="text1"/>
          <w14:textFill>
            <w14:solidFill>
              <w14:schemeClr w14:val="tx1"/>
            </w14:solidFill>
          </w14:textFill>
        </w:rPr>
        <w:t>测人员资格鉴定与认证</w:t>
      </w:r>
    </w:p>
    <w:p w14:paraId="17ED313C">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ISO 18490 无损检测-无损检测人员视力评定</w:t>
      </w:r>
    </w:p>
    <w:p w14:paraId="0F471FD0">
      <w:pPr>
        <w:pStyle w:val="45"/>
        <w:spacing w:before="312" w:after="312"/>
      </w:pPr>
      <w:bookmarkStart w:id="20" w:name="_Toc240124475"/>
      <w:r>
        <w:rPr>
          <w:rFonts w:hint="eastAsia"/>
        </w:rPr>
        <w:t>术语和定义</w:t>
      </w:r>
      <w:bookmarkEnd w:id="20"/>
    </w:p>
    <w:p w14:paraId="3971624B">
      <w:pPr>
        <w:pStyle w:val="24"/>
        <w:rPr>
          <w:color w:val="000000" w:themeColor="text1"/>
          <w14:textFill>
            <w14:solidFill>
              <w14:schemeClr w14:val="tx1"/>
            </w14:solidFill>
          </w14:textFill>
        </w:rPr>
      </w:pPr>
      <w:bookmarkStart w:id="21" w:name="_Toc225885166"/>
      <w:bookmarkEnd w:id="21"/>
      <w:r>
        <w:rPr>
          <w:rFonts w:hint="eastAsia"/>
          <w:color w:val="000000" w:themeColor="text1"/>
          <w14:textFill>
            <w14:solidFill>
              <w14:schemeClr w14:val="tx1"/>
            </w14:solidFill>
          </w14:textFill>
        </w:rPr>
        <w:t>GB/T 20737中界定的以及下列术语和定义适用于本标准。</w:t>
      </w:r>
    </w:p>
    <w:p w14:paraId="17ED3140">
      <w:pPr>
        <w:pStyle w:val="24"/>
        <w:ind w:firstLine="0" w:firstLineChars="0"/>
        <w:jc w:val="left"/>
        <w:rPr>
          <w:rFonts w:hAnsi="黑体"/>
        </w:rPr>
      </w:pPr>
      <w:r>
        <w:rPr>
          <w:rFonts w:ascii="黑体" w:hAnsi="黑体" w:eastAsia="黑体"/>
        </w:rPr>
        <w:t>3.1</w:t>
      </w:r>
    </w:p>
    <w:p w14:paraId="17ED3141">
      <w:pPr>
        <w:pStyle w:val="46"/>
        <w:numPr>
          <w:ilvl w:val="0"/>
          <w:numId w:val="0"/>
        </w:numPr>
        <w:spacing w:before="0" w:beforeLines="0" w:after="156"/>
        <w:ind w:firstLine="420" w:firstLineChars="200"/>
        <w:rPr>
          <w:color w:val="0000FF"/>
        </w:rPr>
      </w:pPr>
      <w:r>
        <w:rPr>
          <w:rFonts w:hint="eastAsia"/>
          <w:color w:val="0000FF"/>
        </w:rPr>
        <w:t>自动化设备</w:t>
      </w:r>
      <w:r>
        <w:rPr>
          <w:color w:val="0000FF"/>
        </w:rPr>
        <w:t xml:space="preserve"> automated equipment</w:t>
      </w:r>
      <w:r>
        <w:rPr>
          <w:rFonts w:hint="eastAsia" w:ascii="宋体" w:hAnsi="宋体"/>
          <w:color w:val="0000FF"/>
          <w:sz w:val="24"/>
        </w:rPr>
        <w:t xml:space="preserve"> </w:t>
      </w:r>
    </w:p>
    <w:p w14:paraId="633DF354">
      <w:pPr>
        <w:pStyle w:val="15"/>
        <w:rPr>
          <w:color w:val="0000FF"/>
        </w:rPr>
      </w:pPr>
      <w:r>
        <w:rPr>
          <w:rFonts w:hint="eastAsia"/>
          <w:color w:val="0000FF"/>
        </w:rPr>
        <w:t>设计用于在任务执行过程中部分或完全无需人工干预即可执行任务的机械、系统和</w:t>
      </w:r>
      <w:r>
        <w:rPr>
          <w:color w:val="0000FF"/>
        </w:rPr>
        <w:t>/</w:t>
      </w:r>
      <w:r>
        <w:rPr>
          <w:rFonts w:hint="eastAsia"/>
          <w:color w:val="0000FF"/>
        </w:rPr>
        <w:t>或装置。</w:t>
      </w:r>
    </w:p>
    <w:p w14:paraId="17ED3144">
      <w:pPr>
        <w:pStyle w:val="15"/>
        <w:ind w:firstLine="0" w:firstLineChars="0"/>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t>3.2</w:t>
      </w:r>
    </w:p>
    <w:p w14:paraId="17ED3147">
      <w:pPr>
        <w:pStyle w:val="46"/>
        <w:numPr>
          <w:ilvl w:val="0"/>
          <w:numId w:val="0"/>
        </w:numPr>
        <w:spacing w:before="0" w:beforeLines="0" w:after="156"/>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基础考试</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basic examination</w:t>
      </w:r>
    </w:p>
    <w:p w14:paraId="17ED3148">
      <w:pPr>
        <w:pStyle w:val="15"/>
        <w:rPr>
          <w:color w:val="000000" w:themeColor="text1"/>
          <w14:textFill>
            <w14:solidFill>
              <w14:schemeClr w14:val="tx1"/>
            </w14:solidFill>
          </w14:textFill>
        </w:rPr>
      </w:pPr>
      <w:r>
        <w:rPr>
          <w:rFonts w:hint="eastAsia"/>
          <w:color w:val="0000FF"/>
        </w:rPr>
        <w:t>用于考核申请</w:t>
      </w:r>
      <w:r>
        <w:rPr>
          <w:color w:val="0000FF"/>
        </w:rPr>
        <w:t>3</w:t>
      </w:r>
      <w:r>
        <w:rPr>
          <w:rFonts w:hint="eastAsia"/>
          <w:color w:val="0000FF"/>
        </w:rPr>
        <w:t>级资格鉴定的人员对无损检测方法、材料及制造工艺（包括雇主所采用的）的知识掌握程度是否达到</w:t>
      </w:r>
      <w:r>
        <w:rPr>
          <w:color w:val="0000FF"/>
        </w:rPr>
        <w:t>2</w:t>
      </w:r>
      <w:r>
        <w:rPr>
          <w:rFonts w:hint="eastAsia"/>
          <w:color w:val="0000FF"/>
        </w:rPr>
        <w:t>级熟练水平以及</w:t>
      </w:r>
      <w:r>
        <w:rPr>
          <w:color w:val="0000FF"/>
        </w:rPr>
        <w:t>T/CAMAC 0001</w:t>
      </w:r>
      <w:r>
        <w:rPr>
          <w:rFonts w:hint="eastAsia"/>
          <w:color w:val="0000FF"/>
        </w:rPr>
        <w:t>标准要求的考试。</w:t>
      </w:r>
    </w:p>
    <w:p w14:paraId="7E881526">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3.3</w:t>
      </w:r>
    </w:p>
    <w:p w14:paraId="45A0582D">
      <w:pPr>
        <w:pStyle w:val="46"/>
        <w:numPr>
          <w:ilvl w:val="0"/>
          <w:numId w:val="0"/>
        </w:numPr>
        <w:spacing w:before="0" w:beforeLines="0" w:after="156"/>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资格</w:t>
      </w:r>
      <w:r>
        <w:rPr>
          <w:rFonts w:hint="eastAsia"/>
          <w:color w:val="000000" w:themeColor="text1"/>
          <w14:textFill>
            <w14:solidFill>
              <w14:schemeClr w14:val="tx1"/>
            </w14:solidFill>
          </w14:textFill>
        </w:rPr>
        <w:t>认证</w:t>
      </w:r>
      <w:r>
        <w:rPr>
          <w:color w:val="000000" w:themeColor="text1"/>
          <w14:textFill>
            <w14:solidFill>
              <w14:schemeClr w14:val="tx1"/>
            </w14:solidFill>
          </w14:textFill>
        </w:rPr>
        <w:t xml:space="preserve"> certification</w:t>
      </w:r>
    </w:p>
    <w:p w14:paraId="33639C7A">
      <w:pPr>
        <w:pStyle w:val="15"/>
        <w:rPr>
          <w:color w:val="000000" w:themeColor="text1"/>
          <w14:textFill>
            <w14:solidFill>
              <w14:schemeClr w14:val="tx1"/>
            </w14:solidFill>
          </w14:textFill>
        </w:rPr>
      </w:pPr>
      <w:r>
        <w:rPr>
          <w:rFonts w:hint="eastAsia"/>
          <w:color w:val="000000" w:themeColor="text1"/>
          <w14:textFill>
            <w14:solidFill>
              <w14:schemeClr w14:val="tx1"/>
            </w14:solidFill>
          </w14:textFill>
        </w:rPr>
        <w:t>由雇主颁发的、证明该人员达到本标准相应要求的书面证明。</w:t>
      </w:r>
    </w:p>
    <w:p w14:paraId="27B73D27">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3.4</w:t>
      </w:r>
    </w:p>
    <w:p w14:paraId="3BB1C594">
      <w:pPr>
        <w:pStyle w:val="46"/>
        <w:numPr>
          <w:ilvl w:val="0"/>
          <w:numId w:val="0"/>
        </w:numPr>
        <w:spacing w:before="0" w:beforeLines="0" w:after="156"/>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闭卷考试 closed book examination</w:t>
      </w:r>
    </w:p>
    <w:p w14:paraId="2DF59263">
      <w:pPr>
        <w:pStyle w:val="15"/>
        <w:rPr>
          <w:color w:val="000000" w:themeColor="text1"/>
          <w14:textFill>
            <w14:solidFill>
              <w14:schemeClr w14:val="tx1"/>
            </w14:solidFill>
          </w14:textFill>
        </w:rPr>
      </w:pPr>
      <w:r>
        <w:rPr>
          <w:rFonts w:hint="eastAsia" w:hAnsi="Arial"/>
          <w:color w:val="000000" w:themeColor="text1"/>
          <w14:textFill>
            <w14:solidFill>
              <w14:schemeClr w14:val="tx1"/>
            </w14:solidFill>
          </w14:textFill>
        </w:rPr>
        <w:t>不允许查阅任何参考资料的考试</w:t>
      </w:r>
      <w:r>
        <w:rPr>
          <w:rFonts w:hint="eastAsia"/>
          <w:color w:val="000000" w:themeColor="text1"/>
          <w14:textFill>
            <w14:solidFill>
              <w14:schemeClr w14:val="tx1"/>
            </w14:solidFill>
          </w14:textFill>
        </w:rPr>
        <w:t>。</w:t>
      </w:r>
    </w:p>
    <w:p w14:paraId="611C98A0">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3.5</w:t>
      </w:r>
    </w:p>
    <w:p w14:paraId="2118290A">
      <w:pPr>
        <w:pStyle w:val="46"/>
        <w:numPr>
          <w:ilvl w:val="0"/>
          <w:numId w:val="0"/>
        </w:numPr>
        <w:spacing w:before="0" w:beforeLines="0" w:after="156"/>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认可的工程</w:t>
      </w:r>
      <w:r>
        <w:rPr>
          <w:color w:val="000000" w:themeColor="text1"/>
          <w14:textFill>
            <w14:solidFill>
              <w14:schemeClr w14:val="tx1"/>
            </w14:solidFill>
          </w14:textFill>
        </w:rPr>
        <w:t xml:space="preserve">机构 cognizant </w:t>
      </w:r>
      <w:r>
        <w:rPr>
          <w:rFonts w:hint="eastAsia"/>
          <w:color w:val="000000" w:themeColor="text1"/>
          <w14:textFill>
            <w14:solidFill>
              <w14:schemeClr w14:val="tx1"/>
            </w14:solidFill>
          </w14:textFill>
        </w:rPr>
        <w:t xml:space="preserve">engineering </w:t>
      </w:r>
      <w:r>
        <w:rPr>
          <w:color w:val="000000" w:themeColor="text1"/>
          <w14:textFill>
            <w14:solidFill>
              <w14:schemeClr w14:val="tx1"/>
            </w14:solidFill>
          </w14:textFill>
        </w:rPr>
        <w:t>organization</w:t>
      </w:r>
    </w:p>
    <w:p w14:paraId="36EB223A">
      <w:pPr>
        <w:pStyle w:val="15"/>
        <w:rPr>
          <w:color w:val="000000" w:themeColor="text1"/>
          <w14:textFill>
            <w14:solidFill>
              <w14:schemeClr w14:val="tx1"/>
            </w14:solidFill>
          </w14:textFill>
        </w:rPr>
      </w:pPr>
      <w:r>
        <w:rPr>
          <w:rFonts w:hint="eastAsia"/>
          <w:color w:val="000000" w:themeColor="text1"/>
          <w14:textFill>
            <w14:solidFill>
              <w14:schemeClr w14:val="tx1"/>
            </w14:solidFill>
          </w14:textFill>
        </w:rPr>
        <w:t>主承包商、制造商或最终用户授权负责有关</w:t>
      </w:r>
      <w:r>
        <w:rPr>
          <w:rFonts w:hint="eastAsia" w:ascii="宋体"/>
          <w:color w:val="000000" w:themeColor="text1"/>
          <w:kern w:val="0"/>
          <w:szCs w:val="20"/>
          <w14:textFill>
            <w14:solidFill>
              <w14:schemeClr w14:val="tx1"/>
            </w14:solidFill>
          </w14:textFill>
        </w:rPr>
        <w:t>NDT</w:t>
      </w:r>
      <w:r>
        <w:rPr>
          <w:rFonts w:hint="eastAsia"/>
          <w:color w:val="000000" w:themeColor="text1"/>
          <w14:textFill>
            <w14:solidFill>
              <w14:schemeClr w14:val="tx1"/>
            </w14:solidFill>
          </w14:textFill>
        </w:rPr>
        <w:t>决定和批准相关</w:t>
      </w:r>
      <w:r>
        <w:rPr>
          <w:rFonts w:hint="eastAsia" w:ascii="宋体"/>
          <w:color w:val="000000" w:themeColor="text1"/>
          <w:kern w:val="0"/>
          <w:szCs w:val="20"/>
          <w14:textFill>
            <w14:solidFill>
              <w14:schemeClr w14:val="tx1"/>
            </w14:solidFill>
          </w14:textFill>
        </w:rPr>
        <w:t>NDT</w:t>
      </w:r>
      <w:r>
        <w:rPr>
          <w:rFonts w:hint="eastAsia"/>
          <w:color w:val="000000" w:themeColor="text1"/>
          <w14:textFill>
            <w14:solidFill>
              <w14:schemeClr w14:val="tx1"/>
            </w14:solidFill>
          </w14:textFill>
        </w:rPr>
        <w:t>事项的工程机构或</w:t>
      </w:r>
      <w:r>
        <w:rPr>
          <w:rFonts w:hint="eastAsia" w:ascii="宋体"/>
          <w:color w:val="000000" w:themeColor="text1"/>
          <w:kern w:val="0"/>
          <w:szCs w:val="20"/>
          <w14:textFill>
            <w14:solidFill>
              <w14:schemeClr w14:val="tx1"/>
            </w14:solidFill>
          </w14:textFill>
        </w:rPr>
        <w:t>NDT</w:t>
      </w:r>
      <w:r>
        <w:rPr>
          <w:rFonts w:hint="eastAsia"/>
          <w:color w:val="000000" w:themeColor="text1"/>
          <w14:textFill>
            <w14:solidFill>
              <w14:schemeClr w14:val="tx1"/>
            </w14:solidFill>
          </w14:textFill>
        </w:rPr>
        <w:t>机构。</w:t>
      </w:r>
    </w:p>
    <w:p w14:paraId="4BB02236">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3.6</w:t>
      </w:r>
    </w:p>
    <w:p w14:paraId="3F1D5C2A">
      <w:pPr>
        <w:pStyle w:val="46"/>
        <w:numPr>
          <w:ilvl w:val="0"/>
          <w:numId w:val="0"/>
        </w:numPr>
        <w:spacing w:before="0" w:beforeLines="0" w:after="156"/>
        <w:ind w:firstLine="420" w:firstLineChars="200"/>
        <w:rPr>
          <w:color w:val="0000FF"/>
        </w:rPr>
      </w:pPr>
      <w:r>
        <w:rPr>
          <w:rFonts w:hint="eastAsia"/>
          <w:color w:val="0000FF"/>
        </w:rPr>
        <w:t>学会或专题会议</w:t>
      </w:r>
      <w:r>
        <w:rPr>
          <w:color w:val="0000FF"/>
        </w:rPr>
        <w:t xml:space="preserve"> committee or panel meetings</w:t>
      </w:r>
    </w:p>
    <w:p w14:paraId="64659C56">
      <w:pPr>
        <w:pStyle w:val="15"/>
        <w:rPr>
          <w:color w:val="0000FF"/>
        </w:rPr>
      </w:pPr>
      <w:r>
        <w:rPr>
          <w:rFonts w:hint="eastAsia"/>
          <w:color w:val="0000FF"/>
        </w:rPr>
        <w:t>由地区、国家或国际</w:t>
      </w:r>
      <w:r>
        <w:rPr>
          <w:color w:val="0000FF"/>
        </w:rPr>
        <w:t>NDT</w:t>
      </w:r>
      <w:r>
        <w:rPr>
          <w:rFonts w:hint="eastAsia"/>
          <w:color w:val="0000FF"/>
        </w:rPr>
        <w:t>组织或技术学会组织或主办的各种会议、大会、专题讨论会、研讨会、行业协会会议、专题论坛等。</w:t>
      </w:r>
    </w:p>
    <w:p w14:paraId="635CAB22">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3.7</w:t>
      </w:r>
    </w:p>
    <w:p w14:paraId="751E1815">
      <w:pPr>
        <w:pStyle w:val="46"/>
        <w:numPr>
          <w:ilvl w:val="0"/>
          <w:numId w:val="0"/>
        </w:numPr>
        <w:spacing w:before="0" w:beforeLines="0" w:after="156"/>
        <w:ind w:firstLine="420" w:firstLineChars="200"/>
        <w:rPr>
          <w:color w:val="000000" w:themeColor="text1"/>
          <w14:textFill>
            <w14:solidFill>
              <w14:schemeClr w14:val="tx1"/>
            </w14:solidFill>
          </w14:textFill>
        </w:rPr>
      </w:pPr>
      <w:r>
        <w:rPr>
          <w:rFonts w:hint="eastAsia"/>
          <w:color w:val="0000FF"/>
        </w:rPr>
        <w:t>学会项目</w:t>
      </w:r>
      <w:r>
        <w:rPr>
          <w:color w:val="0000FF"/>
        </w:rPr>
        <w:t xml:space="preserve"> committee projects</w:t>
      </w:r>
    </w:p>
    <w:p w14:paraId="1E8ECA94">
      <w:pPr>
        <w:pStyle w:val="15"/>
        <w:rPr>
          <w:color w:val="0000FF"/>
        </w:rPr>
      </w:pPr>
      <w:r>
        <w:rPr>
          <w:rFonts w:hint="eastAsia"/>
          <w:color w:val="0000FF"/>
        </w:rPr>
        <w:t>地区或国家技术学会、委员会或工作组主持的正式专业活动。例如例行圆桌会议或专题研究，</w:t>
      </w:r>
      <w:r>
        <w:rPr>
          <w:color w:val="0000FF"/>
        </w:rPr>
        <w:t>指南、附录、规范、推荐</w:t>
      </w:r>
      <w:r>
        <w:rPr>
          <w:rFonts w:hint="eastAsia"/>
          <w:color w:val="0000FF"/>
        </w:rPr>
        <w:t>指引</w:t>
      </w:r>
      <w:r>
        <w:rPr>
          <w:color w:val="0000FF"/>
        </w:rPr>
        <w:t>、程序、法规或标准的编写等</w:t>
      </w:r>
      <w:r>
        <w:rPr>
          <w:rFonts w:hint="eastAsia"/>
          <w:color w:val="0000FF"/>
        </w:rPr>
        <w:t>。</w:t>
      </w:r>
    </w:p>
    <w:p w14:paraId="1116A462">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3.8</w:t>
      </w:r>
    </w:p>
    <w:p w14:paraId="2CAD0AB6">
      <w:pPr>
        <w:pStyle w:val="46"/>
        <w:numPr>
          <w:ilvl w:val="0"/>
          <w:numId w:val="0"/>
        </w:numPr>
        <w:spacing w:before="0" w:beforeLines="0" w:after="156"/>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直接观察  direct observation</w:t>
      </w:r>
    </w:p>
    <w:p w14:paraId="0580AA0F">
      <w:pPr>
        <w:pStyle w:val="15"/>
        <w:rPr>
          <w:color w:val="000000" w:themeColor="text1"/>
          <w14:textFill>
            <w14:solidFill>
              <w14:schemeClr w14:val="tx1"/>
            </w14:solidFill>
          </w14:textFill>
        </w:rPr>
      </w:pPr>
      <w:r>
        <w:rPr>
          <w:rFonts w:hint="eastAsia"/>
          <w:color w:val="000000" w:themeColor="text1"/>
          <w14:textFill>
            <w14:solidFill>
              <w14:schemeClr w14:val="tx1"/>
            </w14:solidFill>
          </w14:textFill>
        </w:rPr>
        <w:t>观察者与学员保持适当距离，不影响学员，但可直接观察</w:t>
      </w:r>
      <w:r>
        <w:rPr>
          <w:rFonts w:hint="eastAsia"/>
          <w:color w:val="0000FF"/>
        </w:rPr>
        <w:t>并能与学员双向交流。</w:t>
      </w:r>
    </w:p>
    <w:p w14:paraId="5D3451F2">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3.9</w:t>
      </w:r>
    </w:p>
    <w:p w14:paraId="3B389ED6">
      <w:pPr>
        <w:pStyle w:val="46"/>
        <w:numPr>
          <w:ilvl w:val="0"/>
          <w:numId w:val="0"/>
        </w:numPr>
        <w:spacing w:before="0" w:beforeLines="0" w:after="156"/>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直读</w:t>
      </w:r>
      <w:r>
        <w:rPr>
          <w:rFonts w:hint="eastAsia"/>
          <w:color w:val="000000" w:themeColor="text1"/>
          <w14:textFill>
            <w14:solidFill>
              <w14:schemeClr w14:val="tx1"/>
            </w14:solidFill>
          </w14:textFill>
        </w:rPr>
        <w:t>式</w:t>
      </w:r>
      <w:r>
        <w:rPr>
          <w:color w:val="000000" w:themeColor="text1"/>
          <w14:textFill>
            <w14:solidFill>
              <w14:schemeClr w14:val="tx1"/>
            </w14:solidFill>
          </w14:textFill>
        </w:rPr>
        <w:t>仪器 direct readout instrument</w:t>
      </w:r>
    </w:p>
    <w:p w14:paraId="21EF7CA7">
      <w:pPr>
        <w:pStyle w:val="24"/>
        <w:ind w:firstLine="424" w:firstLineChars="202"/>
        <w:rPr>
          <w:color w:val="0000FF"/>
          <w:kern w:val="2"/>
        </w:rPr>
      </w:pPr>
      <w:r>
        <w:rPr>
          <w:rFonts w:hint="eastAsia"/>
          <w:color w:val="0000FF"/>
          <w:kern w:val="2"/>
        </w:rPr>
        <w:t>以数字读数或模拟显示（如刻度指针式）方式，显示尺寸或电学物理量（例如英寸、毫米或%IACS）测量值的仪器，或显示合格/不合格输出结果的仪器。此类仪器无需特殊技能或知识即可完成仪器设置或检测，且不涉及调整参数或信号显示（如闸门、延迟、增益或相位）来获得有效测量值。常见的直读式仪器包括无示波器显示功能的超声波测厚仪，以及涡流涂层测厚仪。</w:t>
      </w:r>
    </w:p>
    <w:p w14:paraId="64C852A1">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3.10</w:t>
      </w:r>
    </w:p>
    <w:p w14:paraId="7416C839">
      <w:pPr>
        <w:pStyle w:val="46"/>
        <w:numPr>
          <w:ilvl w:val="0"/>
          <w:numId w:val="0"/>
        </w:numPr>
        <w:spacing w:before="0" w:beforeLines="0" w:after="156"/>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备案 documented</w:t>
      </w:r>
    </w:p>
    <w:p w14:paraId="290C1577">
      <w:pPr>
        <w:pStyle w:val="15"/>
        <w:rPr>
          <w:color w:val="000000" w:themeColor="text1"/>
          <w14:textFill>
            <w14:solidFill>
              <w14:schemeClr w14:val="tx1"/>
            </w14:solidFill>
          </w14:textFill>
        </w:rPr>
      </w:pPr>
      <w:r>
        <w:rPr>
          <w:color w:val="000000" w:themeColor="text1"/>
          <w14:textFill>
            <w14:solidFill>
              <w14:schemeClr w14:val="tx1"/>
            </w14:solidFill>
          </w14:textFill>
        </w:rPr>
        <w:t>以书面</w:t>
      </w:r>
      <w:r>
        <w:rPr>
          <w:rFonts w:hint="eastAsia"/>
          <w:color w:val="000000" w:themeColor="text1"/>
          <w14:textFill>
            <w14:solidFill>
              <w14:schemeClr w14:val="tx1"/>
            </w14:solidFill>
          </w14:textFill>
        </w:rPr>
        <w:t>或电子</w:t>
      </w:r>
      <w:r>
        <w:rPr>
          <w:color w:val="000000" w:themeColor="text1"/>
          <w14:textFill>
            <w14:solidFill>
              <w14:schemeClr w14:val="tx1"/>
            </w14:solidFill>
          </w14:textFill>
        </w:rPr>
        <w:t>形式记录的情况。</w:t>
      </w:r>
    </w:p>
    <w:p w14:paraId="4959104C">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3.11</w:t>
      </w:r>
    </w:p>
    <w:p w14:paraId="78D304FA">
      <w:pPr>
        <w:pStyle w:val="46"/>
        <w:numPr>
          <w:ilvl w:val="0"/>
          <w:numId w:val="0"/>
        </w:numPr>
        <w:spacing w:before="0" w:beforeLines="0" w:after="156"/>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雇主 employer</w:t>
      </w:r>
    </w:p>
    <w:p w14:paraId="60878222">
      <w:pPr>
        <w:pStyle w:val="15"/>
        <w:rPr>
          <w:color w:val="000000" w:themeColor="text1"/>
          <w14:textFill>
            <w14:solidFill>
              <w14:schemeClr w14:val="tx1"/>
            </w14:solidFill>
          </w14:textFill>
        </w:rPr>
      </w:pPr>
      <w:r>
        <w:rPr>
          <w:rFonts w:hint="eastAsia" w:ascii="宋体" w:hAnsi="Arial"/>
          <w:color w:val="000000" w:themeColor="text1"/>
          <w14:textFill>
            <w14:solidFill>
              <w14:schemeClr w14:val="tx1"/>
            </w14:solidFill>
          </w14:textFill>
        </w:rPr>
        <w:t>以合同形式聘用或雇佣一个或多个</w:t>
      </w:r>
      <w:r>
        <w:rPr>
          <w:rFonts w:ascii="宋体" w:hAnsi="宋体"/>
          <w:color w:val="000000" w:themeColor="text1"/>
          <w:szCs w:val="21"/>
          <w14:textFill>
            <w14:solidFill>
              <w14:schemeClr w14:val="tx1"/>
            </w14:solidFill>
          </w14:textFill>
        </w:rPr>
        <w:t>NDT</w:t>
      </w:r>
      <w:r>
        <w:rPr>
          <w:rFonts w:hint="eastAsia" w:ascii="宋体" w:hAnsi="Arial"/>
          <w:color w:val="000000" w:themeColor="text1"/>
          <w14:textFill>
            <w14:solidFill>
              <w14:schemeClr w14:val="tx1"/>
            </w14:solidFill>
          </w14:textFill>
        </w:rPr>
        <w:t>人员从事NDT服务的组织。此定义也包括自我雇佣的个人。</w:t>
      </w:r>
    </w:p>
    <w:p w14:paraId="662FD4EF">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3.12</w:t>
      </w:r>
    </w:p>
    <w:p w14:paraId="5408B70E">
      <w:pPr>
        <w:pStyle w:val="46"/>
        <w:numPr>
          <w:ilvl w:val="0"/>
          <w:numId w:val="0"/>
        </w:numPr>
        <w:spacing w:before="0" w:beforeLines="0" w:after="156"/>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评价 evaluation</w:t>
      </w:r>
    </w:p>
    <w:p w14:paraId="6D6372F1">
      <w:pPr>
        <w:pStyle w:val="15"/>
        <w:rPr>
          <w:color w:val="000000" w:themeColor="text1"/>
          <w14:textFill>
            <w14:solidFill>
              <w14:schemeClr w14:val="tx1"/>
            </w14:solidFill>
          </w14:textFill>
        </w:rPr>
      </w:pPr>
      <w:r>
        <w:rPr>
          <w:rFonts w:hint="eastAsia"/>
          <w:color w:val="000000" w:themeColor="text1"/>
          <w14:textFill>
            <w14:solidFill>
              <w14:schemeClr w14:val="tx1"/>
            </w14:solidFill>
          </w14:textFill>
        </w:rPr>
        <w:t>在</w:t>
      </w:r>
      <w:r>
        <w:rPr>
          <w:rFonts w:ascii="宋体" w:hAnsi="宋体"/>
          <w:color w:val="000000" w:themeColor="text1"/>
          <w:szCs w:val="21"/>
          <w14:textFill>
            <w14:solidFill>
              <w14:schemeClr w14:val="tx1"/>
            </w14:solidFill>
          </w14:textFill>
        </w:rPr>
        <w:t>NDT</w:t>
      </w:r>
      <w:r>
        <w:rPr>
          <w:rFonts w:hint="eastAsia"/>
          <w:color w:val="000000" w:themeColor="text1"/>
          <w14:textFill>
            <w14:solidFill>
              <w14:schemeClr w14:val="tx1"/>
            </w14:solidFill>
          </w14:textFill>
        </w:rPr>
        <w:t>检测中，对所发现的典型显示进行解释以后所做的判断，以确定这些显示是否满足所规定的验收标准或其严重程度。</w:t>
      </w:r>
    </w:p>
    <w:p w14:paraId="1E93ACB6">
      <w:pPr>
        <w:pStyle w:val="15"/>
        <w:rPr>
          <w:color w:val="000000" w:themeColor="text1"/>
          <w14:textFill>
            <w14:solidFill>
              <w14:schemeClr w14:val="tx1"/>
            </w14:solidFill>
          </w14:textFill>
        </w:rPr>
      </w:pPr>
    </w:p>
    <w:p w14:paraId="5668393B">
      <w:pPr>
        <w:pStyle w:val="15"/>
        <w:rPr>
          <w:color w:val="000000" w:themeColor="text1"/>
          <w14:textFill>
            <w14:solidFill>
              <w14:schemeClr w14:val="tx1"/>
            </w14:solidFill>
          </w14:textFill>
        </w:rPr>
      </w:pPr>
    </w:p>
    <w:p w14:paraId="6B015899">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3.13</w:t>
      </w:r>
    </w:p>
    <w:p w14:paraId="2DB0C4D1">
      <w:pPr>
        <w:pStyle w:val="46"/>
        <w:numPr>
          <w:ilvl w:val="0"/>
          <w:numId w:val="0"/>
        </w:numPr>
        <w:spacing w:before="0" w:beforeLines="0" w:after="156"/>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考试 examination</w:t>
      </w:r>
    </w:p>
    <w:p w14:paraId="717B5AAB">
      <w:pPr>
        <w:pStyle w:val="15"/>
        <w:rPr>
          <w:color w:val="000000" w:themeColor="text1"/>
          <w14:textFill>
            <w14:solidFill>
              <w14:schemeClr w14:val="tx1"/>
            </w14:solidFill>
          </w14:textFill>
        </w:rPr>
      </w:pPr>
      <w:r>
        <w:rPr>
          <w:rFonts w:hint="eastAsia" w:ascii="宋体" w:hAnsi="Arial"/>
          <w:color w:val="000000" w:themeColor="text1"/>
          <w:kern w:val="0"/>
          <w:szCs w:val="20"/>
          <w14:textFill>
            <w14:solidFill>
              <w14:schemeClr w14:val="tx1"/>
            </w14:solidFill>
          </w14:textFill>
        </w:rPr>
        <w:t>为考察申请人的视力、</w:t>
      </w:r>
      <w:r>
        <w:rPr>
          <w:rFonts w:ascii="宋体" w:hAnsi="宋体"/>
          <w:color w:val="000000" w:themeColor="text1"/>
          <w:szCs w:val="21"/>
          <w14:textFill>
            <w14:solidFill>
              <w14:schemeClr w14:val="tx1"/>
            </w14:solidFill>
          </w14:textFill>
        </w:rPr>
        <w:t>NDT</w:t>
      </w:r>
      <w:r>
        <w:rPr>
          <w:rFonts w:hint="eastAsia" w:ascii="宋体" w:hAnsi="Arial"/>
          <w:color w:val="000000" w:themeColor="text1"/>
          <w:kern w:val="0"/>
          <w:szCs w:val="20"/>
          <w14:textFill>
            <w14:solidFill>
              <w14:schemeClr w14:val="tx1"/>
            </w14:solidFill>
          </w14:textFill>
        </w:rPr>
        <w:t>知识和技能，按照已备案的书面实施规程进行的正式的、受控的、备案的测试</w:t>
      </w:r>
      <w:r>
        <w:rPr>
          <w:rFonts w:hint="eastAsia"/>
          <w:color w:val="000000" w:themeColor="text1"/>
          <w14:textFill>
            <w14:solidFill>
              <w14:schemeClr w14:val="tx1"/>
            </w14:solidFill>
          </w14:textFill>
        </w:rPr>
        <w:t>。</w:t>
      </w:r>
    </w:p>
    <w:p w14:paraId="07CFC3B5">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3.14</w:t>
      </w:r>
    </w:p>
    <w:p w14:paraId="48939E51">
      <w:pPr>
        <w:pStyle w:val="46"/>
        <w:numPr>
          <w:ilvl w:val="0"/>
          <w:numId w:val="0"/>
        </w:numPr>
        <w:spacing w:before="0" w:beforeLines="0" w:after="156"/>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主考人 examiner</w:t>
      </w:r>
    </w:p>
    <w:p w14:paraId="622D5FAB">
      <w:pPr>
        <w:pStyle w:val="15"/>
        <w:rPr>
          <w:color w:val="000000" w:themeColor="text1"/>
          <w14:textFill>
            <w14:solidFill>
              <w14:schemeClr w14:val="tx1"/>
            </w14:solidFill>
          </w14:textFill>
        </w:rPr>
      </w:pPr>
      <w:r>
        <w:rPr>
          <w:rFonts w:hint="eastAsia"/>
          <w:color w:val="000000" w:themeColor="text1"/>
          <w14:textFill>
            <w14:solidFill>
              <w14:schemeClr w14:val="tx1"/>
            </w14:solidFill>
          </w14:textFill>
        </w:rPr>
        <w:t>由</w:t>
      </w:r>
      <w:r>
        <w:rPr>
          <w:rFonts w:hint="eastAsia" w:ascii="Arial" w:hAnsi="Arial" w:cs="Arial"/>
          <w:color w:val="000000" w:themeColor="text1"/>
          <w14:textFill>
            <w14:solidFill>
              <w14:schemeClr w14:val="tx1"/>
            </w14:solidFill>
          </w14:textFill>
        </w:rPr>
        <w:t>责任</w:t>
      </w:r>
      <w:r>
        <w:rPr>
          <w:rFonts w:hint="eastAsia" w:hAnsi="Arial"/>
          <w:color w:val="000000" w:themeColor="text1"/>
          <w14:textFill>
            <w14:solidFill>
              <w14:schemeClr w14:val="tx1"/>
            </w14:solidFill>
          </w14:textFill>
        </w:rPr>
        <w:t>3</w:t>
      </w:r>
      <w:r>
        <w:rPr>
          <w:rFonts w:hint="eastAsia" w:ascii="Arial" w:hAnsi="Arial" w:cs="Arial"/>
          <w:color w:val="000000" w:themeColor="text1"/>
          <w14:textFill>
            <w14:solidFill>
              <w14:schemeClr w14:val="tx1"/>
            </w14:solidFill>
          </w14:textFill>
        </w:rPr>
        <w:t>级人员</w:t>
      </w:r>
      <w:r>
        <w:rPr>
          <w:rFonts w:hint="eastAsia"/>
          <w:color w:val="000000" w:themeColor="text1"/>
          <w14:textFill>
            <w14:solidFill>
              <w14:schemeClr w14:val="tx1"/>
            </w14:solidFill>
          </w14:textFill>
        </w:rPr>
        <w:t>指定，</w:t>
      </w:r>
      <w:r>
        <w:rPr>
          <w:rFonts w:hint="eastAsia" w:hAnsi="Arial"/>
          <w:color w:val="000000" w:themeColor="text1"/>
          <w14:textFill>
            <w14:solidFill>
              <w14:schemeClr w14:val="tx1"/>
            </w14:solidFill>
          </w14:textFill>
        </w:rPr>
        <w:t>在其认证的</w:t>
      </w:r>
      <w:r>
        <w:rPr>
          <w:rFonts w:hAnsi="宋体"/>
          <w:color w:val="000000" w:themeColor="text1"/>
          <w:szCs w:val="21"/>
          <w14:textFill>
            <w14:solidFill>
              <w14:schemeClr w14:val="tx1"/>
            </w14:solidFill>
          </w14:textFill>
        </w:rPr>
        <w:t>NDT</w:t>
      </w:r>
      <w:r>
        <w:rPr>
          <w:rFonts w:hint="eastAsia" w:hAnsi="Arial"/>
          <w:color w:val="000000" w:themeColor="text1"/>
          <w14:textFill>
            <w14:solidFill>
              <w14:schemeClr w14:val="tx1"/>
            </w14:solidFill>
          </w14:textFill>
        </w:rPr>
        <w:t>方法内，负责管理全部或部分资格鉴定过程的3级人员。</w:t>
      </w:r>
    </w:p>
    <w:p w14:paraId="08A3D194">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3.15</w:t>
      </w:r>
    </w:p>
    <w:p w14:paraId="0FABDAC2">
      <w:pPr>
        <w:pStyle w:val="46"/>
        <w:numPr>
          <w:ilvl w:val="0"/>
          <w:numId w:val="0"/>
        </w:numPr>
        <w:spacing w:before="0" w:beforeLines="0" w:after="156"/>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经历 experience</w:t>
      </w:r>
    </w:p>
    <w:p w14:paraId="4EF3FC99">
      <w:pPr>
        <w:pStyle w:val="15"/>
        <w:rPr>
          <w:color w:val="0000FF"/>
        </w:rPr>
      </w:pPr>
      <w:r>
        <w:rPr>
          <w:rFonts w:hint="eastAsia" w:hAnsi="宋体"/>
          <w:color w:val="0000FF"/>
        </w:rPr>
        <w:t>在工作环境中，按照预期职责/培训计划实际执行无损检测方法，从而获取知识和技能</w:t>
      </w:r>
      <w:r>
        <w:rPr>
          <w:rFonts w:hint="eastAsia"/>
          <w:color w:val="0000FF"/>
        </w:rPr>
        <w:t>。包括雇主书面实施规程认可的实验室培训和岗位培训，不包括正式的课堂培训。</w:t>
      </w:r>
    </w:p>
    <w:p w14:paraId="49F7FE65">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3.16</w:t>
      </w:r>
    </w:p>
    <w:p w14:paraId="49E732DF">
      <w:pPr>
        <w:pStyle w:val="46"/>
        <w:numPr>
          <w:ilvl w:val="0"/>
          <w:numId w:val="0"/>
        </w:numPr>
        <w:spacing w:before="0" w:beforeLines="0" w:after="156"/>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正规学历教育</w:t>
      </w:r>
      <w:r>
        <w:rPr>
          <w:color w:val="000000" w:themeColor="text1"/>
          <w14:textFill>
            <w14:solidFill>
              <w14:schemeClr w14:val="tx1"/>
            </w14:solidFill>
          </w14:textFill>
        </w:rPr>
        <w:t>formal education</w:t>
      </w:r>
    </w:p>
    <w:p w14:paraId="5D01C34C">
      <w:pPr>
        <w:pStyle w:val="15"/>
        <w:rPr>
          <w:color w:val="000000" w:themeColor="text1"/>
          <w14:textFill>
            <w14:solidFill>
              <w14:schemeClr w14:val="tx1"/>
            </w14:solidFill>
          </w14:textFill>
        </w:rPr>
      </w:pPr>
      <w:r>
        <w:rPr>
          <w:rFonts w:hint="eastAsia" w:ascii="宋体"/>
          <w:color w:val="000000" w:themeColor="text1"/>
          <w:szCs w:val="20"/>
          <w14:textFill>
            <w14:solidFill>
              <w14:schemeClr w14:val="tx1"/>
            </w14:solidFill>
          </w14:textFill>
        </w:rPr>
        <w:t>在职业技术学校、学院或大学进行的理工科学习经历。</w:t>
      </w:r>
    </w:p>
    <w:p w14:paraId="2BAD3F78">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3.17</w:t>
      </w:r>
    </w:p>
    <w:p w14:paraId="3068AAE0">
      <w:pPr>
        <w:pStyle w:val="46"/>
        <w:numPr>
          <w:ilvl w:val="0"/>
          <w:numId w:val="0"/>
        </w:numPr>
        <w:spacing w:before="0" w:beforeLines="0" w:after="156"/>
        <w:ind w:firstLine="420" w:firstLineChars="200"/>
        <w:rPr>
          <w:color w:val="000000" w:themeColor="text1"/>
          <w14:textFill>
            <w14:solidFill>
              <w14:schemeClr w14:val="tx1"/>
            </w14:solidFill>
          </w14:textFill>
        </w:rPr>
      </w:pPr>
      <w:r>
        <w:rPr>
          <w:rFonts w:hint="eastAsia"/>
        </w:rPr>
        <w:t>正规培训</w:t>
      </w:r>
      <w:r>
        <w:rPr>
          <w:color w:val="000000" w:themeColor="text1"/>
          <w14:textFill>
            <w14:solidFill>
              <w14:schemeClr w14:val="tx1"/>
            </w14:solidFill>
          </w14:textFill>
        </w:rPr>
        <w:t xml:space="preserve"> formal training</w:t>
      </w:r>
    </w:p>
    <w:p w14:paraId="3A701A68">
      <w:pPr>
        <w:pStyle w:val="15"/>
        <w:rPr>
          <w:color w:val="000000" w:themeColor="text1"/>
          <w14:textFill>
            <w14:solidFill>
              <w14:schemeClr w14:val="tx1"/>
            </w14:solidFill>
          </w14:textFill>
        </w:rPr>
      </w:pPr>
      <w:r>
        <w:rPr>
          <w:rFonts w:hint="eastAsia" w:hAnsi="宋体"/>
          <w:color w:val="000000" w:themeColor="text1"/>
          <w14:textFill>
            <w14:solidFill>
              <w14:schemeClr w14:val="tx1"/>
            </w14:solidFill>
          </w14:textFill>
        </w:rPr>
        <w:t>有组织的、备案的传授符合本标准所要求的知识和技能，包括由责任</w:t>
      </w:r>
      <w:r>
        <w:rPr>
          <w:rFonts w:hAnsi="宋体"/>
          <w:color w:val="000000" w:themeColor="text1"/>
          <w14:textFill>
            <w14:solidFill>
              <w14:schemeClr w14:val="tx1"/>
            </w14:solidFill>
          </w14:textFill>
        </w:rPr>
        <w:t>3级人员</w:t>
      </w:r>
      <w:r>
        <w:rPr>
          <w:rFonts w:hint="eastAsia" w:hAnsi="宋体"/>
          <w:color w:val="000000" w:themeColor="text1"/>
          <w14:textFill>
            <w14:solidFill>
              <w14:schemeClr w14:val="tx1"/>
            </w14:solidFill>
          </w14:textFill>
        </w:rPr>
        <w:t>或主考人批准的课堂培训、实际操作培训和自学等形式</w:t>
      </w:r>
      <w:r>
        <w:rPr>
          <w:rFonts w:hint="eastAsia"/>
          <w:color w:val="000000" w:themeColor="text1"/>
          <w14:textFill>
            <w14:solidFill>
              <w14:schemeClr w14:val="tx1"/>
            </w14:solidFill>
          </w14:textFill>
        </w:rPr>
        <w:t>。</w:t>
      </w:r>
    </w:p>
    <w:p w14:paraId="38638047">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3.18</w:t>
      </w:r>
    </w:p>
    <w:p w14:paraId="5C3CFC6F">
      <w:pPr>
        <w:pStyle w:val="46"/>
        <w:numPr>
          <w:ilvl w:val="0"/>
          <w:numId w:val="0"/>
        </w:numPr>
        <w:spacing w:before="0" w:beforeLines="0" w:after="156"/>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通用考试</w:t>
      </w:r>
      <w:r>
        <w:rPr>
          <w:color w:val="000000" w:themeColor="text1"/>
          <w14:textFill>
            <w14:solidFill>
              <w14:schemeClr w14:val="tx1"/>
            </w14:solidFill>
          </w14:textFill>
        </w:rPr>
        <w:t xml:space="preserve"> general examination</w:t>
      </w:r>
    </w:p>
    <w:p w14:paraId="2AAD0398">
      <w:pPr>
        <w:pStyle w:val="15"/>
        <w:rPr>
          <w:color w:val="000000" w:themeColor="text1"/>
          <w14:textFill>
            <w14:solidFill>
              <w14:schemeClr w14:val="tx1"/>
            </w14:solidFill>
          </w14:textFill>
        </w:rPr>
      </w:pPr>
      <w:r>
        <w:rPr>
          <w:color w:val="000000" w:themeColor="text1"/>
          <w14:textFill>
            <w14:solidFill>
              <w14:schemeClr w14:val="tx1"/>
            </w14:solidFill>
          </w14:textFill>
        </w:rPr>
        <w:t>考核相应</w:t>
      </w:r>
      <w:r>
        <w:rPr>
          <w:rFonts w:ascii="宋体" w:hAnsi="宋体"/>
          <w:color w:val="000000" w:themeColor="text1"/>
          <w14:textFill>
            <w14:solidFill>
              <w14:schemeClr w14:val="tx1"/>
            </w14:solidFill>
          </w14:textFill>
        </w:rPr>
        <w:t>NDT</w:t>
      </w:r>
      <w:r>
        <w:rPr>
          <w:color w:val="000000" w:themeColor="text1"/>
          <w14:textFill>
            <w14:solidFill>
              <w14:schemeClr w14:val="tx1"/>
            </w14:solidFill>
          </w14:textFill>
        </w:rPr>
        <w:t>方法基本理论的书面</w:t>
      </w:r>
      <w:r>
        <w:rPr>
          <w:rFonts w:hint="eastAsia"/>
          <w:color w:val="000000" w:themeColor="text1"/>
          <w14:textFill>
            <w14:solidFill>
              <w14:schemeClr w14:val="tx1"/>
            </w14:solidFill>
          </w14:textFill>
        </w:rPr>
        <w:t>考试。</w:t>
      </w:r>
    </w:p>
    <w:p w14:paraId="215F86F9">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3.19</w:t>
      </w:r>
    </w:p>
    <w:p w14:paraId="68C9B647">
      <w:pPr>
        <w:pStyle w:val="46"/>
        <w:numPr>
          <w:ilvl w:val="0"/>
          <w:numId w:val="0"/>
        </w:numPr>
        <w:spacing w:before="0" w:beforeLines="0" w:after="156"/>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显示indication</w:t>
      </w:r>
    </w:p>
    <w:p w14:paraId="1D62A7FF">
      <w:pPr>
        <w:pStyle w:val="15"/>
        <w:rPr>
          <w:color w:val="000000" w:themeColor="text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NDT</w:t>
      </w:r>
      <w:r>
        <w:rPr>
          <w:rFonts w:hint="eastAsia" w:asciiTheme="minorEastAsia" w:hAnsiTheme="minorEastAsia" w:eastAsiaTheme="minorEastAsia"/>
          <w:color w:val="000000" w:themeColor="text1"/>
          <w14:textFill>
            <w14:solidFill>
              <w14:schemeClr w14:val="tx1"/>
            </w14:solidFill>
          </w14:textFill>
        </w:rPr>
        <w:t>获得的、需要进行解释的</w:t>
      </w:r>
      <w:r>
        <w:rPr>
          <w:rFonts w:hint="eastAsia" w:asciiTheme="minorEastAsia" w:hAnsiTheme="minorEastAsia" w:eastAsiaTheme="minorEastAsia"/>
          <w:color w:val="0000FF"/>
        </w:rPr>
        <w:t>响应或痕迹</w:t>
      </w:r>
      <w:r>
        <w:rPr>
          <w:rFonts w:hint="eastAsia"/>
          <w:color w:val="000000" w:themeColor="text1"/>
          <w14:textFill>
            <w14:solidFill>
              <w14:schemeClr w14:val="tx1"/>
            </w14:solidFill>
          </w14:textFill>
        </w:rPr>
        <w:t>。</w:t>
      </w:r>
    </w:p>
    <w:p w14:paraId="1FCDD8DF">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3.20</w:t>
      </w:r>
    </w:p>
    <w:p w14:paraId="370593A4">
      <w:pPr>
        <w:pStyle w:val="46"/>
        <w:numPr>
          <w:ilvl w:val="0"/>
          <w:numId w:val="0"/>
        </w:numPr>
        <w:spacing w:before="0" w:beforeLines="0" w:after="156"/>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教员 instructor</w:t>
      </w:r>
    </w:p>
    <w:p w14:paraId="6BFDCFFE">
      <w:pPr>
        <w:pStyle w:val="15"/>
        <w:rPr>
          <w:color w:val="000000" w:themeColor="text1"/>
          <w14:textFill>
            <w14:solidFill>
              <w14:schemeClr w14:val="tx1"/>
            </w14:solidFill>
          </w14:textFill>
        </w:rPr>
      </w:pPr>
      <w:r>
        <w:rPr>
          <w:rFonts w:hint="eastAsia"/>
          <w:color w:val="0000FF"/>
        </w:rPr>
        <w:t>由</w:t>
      </w:r>
      <w:r>
        <w:rPr>
          <w:rFonts w:hint="eastAsia" w:ascii="Arial" w:cs="Arial"/>
          <w:color w:val="0000FF"/>
        </w:rPr>
        <w:t>责任</w:t>
      </w:r>
      <w:r>
        <w:rPr>
          <w:rFonts w:hAnsi="Arial"/>
          <w:color w:val="0000FF"/>
        </w:rPr>
        <w:t>3</w:t>
      </w:r>
      <w:r>
        <w:rPr>
          <w:rFonts w:hint="eastAsia" w:ascii="Arial" w:cs="Arial"/>
          <w:color w:val="0000FF"/>
        </w:rPr>
        <w:t>级人员或主考人指定或</w:t>
      </w:r>
      <w:r>
        <w:rPr>
          <w:rFonts w:hint="eastAsia"/>
          <w:color w:val="0000FF"/>
        </w:rPr>
        <w:t>批准，负责提供正规培训，并可被指定为无损检测人员提供岗位培训的人员。</w:t>
      </w:r>
    </w:p>
    <w:p w14:paraId="4D9F68F2">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3.21</w:t>
      </w:r>
    </w:p>
    <w:p w14:paraId="7789DF02">
      <w:pPr>
        <w:pStyle w:val="46"/>
        <w:numPr>
          <w:ilvl w:val="0"/>
          <w:numId w:val="0"/>
        </w:numPr>
        <w:spacing w:before="0" w:beforeLines="0" w:after="156"/>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解释 interpretation</w:t>
      </w:r>
    </w:p>
    <w:p w14:paraId="2CD4D09B">
      <w:pPr>
        <w:pStyle w:val="15"/>
        <w:rPr>
          <w:color w:val="000000" w:themeColor="text1"/>
          <w14:textFill>
            <w14:solidFill>
              <w14:schemeClr w14:val="tx1"/>
            </w14:solidFill>
          </w14:textFill>
        </w:rPr>
      </w:pPr>
      <w:r>
        <w:rPr>
          <w:rFonts w:hint="eastAsia"/>
          <w:color w:val="000000" w:themeColor="text1"/>
          <w14:textFill>
            <w14:solidFill>
              <w14:schemeClr w14:val="tx1"/>
            </w14:solidFill>
          </w14:textFill>
        </w:rPr>
        <w:t>确定显示是相关显示或非相关显示的说明。</w:t>
      </w:r>
    </w:p>
    <w:p w14:paraId="5B86507B">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3.22</w:t>
      </w:r>
    </w:p>
    <w:p w14:paraId="4ACA77B1">
      <w:pPr>
        <w:pStyle w:val="46"/>
        <w:numPr>
          <w:ilvl w:val="0"/>
          <w:numId w:val="0"/>
        </w:numPr>
        <w:spacing w:before="0" w:beforeLines="0" w:after="156"/>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方法 method</w:t>
      </w:r>
    </w:p>
    <w:p w14:paraId="545EA88D">
      <w:pPr>
        <w:pStyle w:val="15"/>
        <w:rPr>
          <w:color w:val="0000FF"/>
        </w:rPr>
      </w:pPr>
      <w:r>
        <w:rPr>
          <w:rFonts w:hint="eastAsia"/>
          <w:color w:val="0000FF"/>
        </w:rPr>
        <w:t>无损检测学科之一（例如：超声检测、射线照相检测），方法可包含多种不同的技术。</w:t>
      </w:r>
    </w:p>
    <w:p w14:paraId="66A65481">
      <w:pPr>
        <w:pStyle w:val="15"/>
        <w:rPr>
          <w:color w:val="0000FF"/>
        </w:rPr>
      </w:pPr>
    </w:p>
    <w:p w14:paraId="41F1860A">
      <w:pPr>
        <w:pStyle w:val="15"/>
        <w:rPr>
          <w:color w:val="0000FF"/>
        </w:rPr>
      </w:pPr>
    </w:p>
    <w:p w14:paraId="0B21A0D9">
      <w:pPr>
        <w:pStyle w:val="15"/>
        <w:rPr>
          <w:color w:val="0000FF"/>
        </w:rPr>
      </w:pPr>
    </w:p>
    <w:p w14:paraId="58461CB9">
      <w:pPr>
        <w:pStyle w:val="15"/>
        <w:rPr>
          <w:color w:val="000000" w:themeColor="text1"/>
          <w14:textFill>
            <w14:solidFill>
              <w14:schemeClr w14:val="tx1"/>
            </w14:solidFill>
          </w14:textFill>
        </w:rPr>
      </w:pPr>
    </w:p>
    <w:p w14:paraId="6765A3B9">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3.23</w:t>
      </w:r>
    </w:p>
    <w:p w14:paraId="4146EC37">
      <w:pPr>
        <w:pStyle w:val="46"/>
        <w:numPr>
          <w:ilvl w:val="0"/>
          <w:numId w:val="0"/>
        </w:numPr>
        <w:spacing w:before="0" w:beforeLines="0" w:after="156"/>
        <w:ind w:firstLine="420" w:firstLineChars="200"/>
        <w:rPr>
          <w:color w:val="0000FF"/>
        </w:rPr>
      </w:pPr>
      <w:r>
        <w:rPr>
          <w:rFonts w:hint="eastAsia" w:hAnsi="黑体"/>
          <w:color w:val="0000FF"/>
          <w:lang w:eastAsia="zh-CN"/>
        </w:rPr>
        <w:t>中国民用航空维修协会无损检测人员资格鉴定专业委员会</w:t>
      </w:r>
      <w:r>
        <w:rPr>
          <w:color w:val="0000FF"/>
        </w:rPr>
        <w:t xml:space="preserve"> Civil Aviation Nondestructive Testing Board of CAMA</w:t>
      </w:r>
      <w:r>
        <w:rPr>
          <w:rFonts w:hint="eastAsia"/>
          <w:color w:val="0000FF"/>
        </w:rPr>
        <w:t>C</w:t>
      </w:r>
    </w:p>
    <w:p w14:paraId="58E0C50F">
      <w:pPr>
        <w:pStyle w:val="15"/>
        <w:rPr>
          <w:color w:val="0000FF"/>
        </w:rPr>
      </w:pPr>
      <w:r>
        <w:rPr>
          <w:color w:val="0000FF"/>
        </w:rPr>
        <w:t>中国民用航空维修协会下属的、提供或支持民航维修NDT人员资格鉴定和考试服务的机构。</w:t>
      </w:r>
    </w:p>
    <w:p w14:paraId="64FEB3FC">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3.24</w:t>
      </w:r>
    </w:p>
    <w:p w14:paraId="1A4BB3E6">
      <w:pPr>
        <w:pStyle w:val="46"/>
        <w:numPr>
          <w:ilvl w:val="0"/>
          <w:numId w:val="0"/>
        </w:numPr>
        <w:spacing w:before="0" w:beforeLines="0" w:after="156"/>
        <w:ind w:firstLine="420" w:firstLineChars="200"/>
        <w:rPr>
          <w:color w:val="0000FF"/>
        </w:rPr>
      </w:pPr>
      <w:r>
        <w:rPr>
          <w:rFonts w:hint="eastAsia"/>
          <w:color w:val="0000FF"/>
        </w:rPr>
        <w:t>非胶片射线照相技术</w:t>
      </w:r>
      <w:r>
        <w:rPr>
          <w:color w:val="0000FF"/>
        </w:rPr>
        <w:t xml:space="preserve"> non-film radiography</w:t>
      </w:r>
    </w:p>
    <w:p w14:paraId="654140DD">
      <w:pPr>
        <w:pStyle w:val="15"/>
        <w:rPr>
          <w:color w:val="0000FF"/>
        </w:rPr>
      </w:pPr>
      <w:r>
        <w:rPr>
          <w:rFonts w:hint="eastAsia"/>
          <w:color w:val="0000FF"/>
        </w:rPr>
        <w:t>不使用胶片类记录介质的射线成像技术。非胶片射线照相技术包括但不限于计算机射线照相技术、数字射线照相技术、放射透视检查及计算机断层扫描。</w:t>
      </w:r>
    </w:p>
    <w:p w14:paraId="58D55710">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3.25</w:t>
      </w:r>
    </w:p>
    <w:p w14:paraId="0B79F7A7">
      <w:pPr>
        <w:pStyle w:val="46"/>
        <w:numPr>
          <w:ilvl w:val="0"/>
          <w:numId w:val="0"/>
        </w:numPr>
        <w:spacing w:before="0" w:beforeLines="0" w:after="156"/>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岗</w:t>
      </w:r>
      <w:r>
        <w:rPr>
          <w:rFonts w:hint="eastAsia"/>
          <w:color w:val="000000" w:themeColor="text1"/>
          <w14:textFill>
            <w14:solidFill>
              <w14:schemeClr w14:val="tx1"/>
            </w14:solidFill>
          </w14:textFill>
        </w:rPr>
        <w:t>位</w:t>
      </w:r>
      <w:r>
        <w:rPr>
          <w:color w:val="000000" w:themeColor="text1"/>
          <w14:textFill>
            <w14:solidFill>
              <w14:schemeClr w14:val="tx1"/>
            </w14:solidFill>
          </w14:textFill>
        </w:rPr>
        <w:t>培训 on-the-job training</w:t>
      </w:r>
    </w:p>
    <w:p w14:paraId="611E784A">
      <w:pPr>
        <w:pStyle w:val="15"/>
        <w:rPr>
          <w:color w:val="000000" w:themeColor="text1"/>
          <w14:textFill>
            <w14:solidFill>
              <w14:schemeClr w14:val="tx1"/>
            </w14:solidFill>
          </w14:textFill>
        </w:rPr>
      </w:pPr>
      <w:r>
        <w:rPr>
          <w:rFonts w:hint="eastAsia"/>
          <w:color w:val="000000" w:themeColor="text1"/>
          <w14:textFill>
            <w14:solidFill>
              <w14:schemeClr w14:val="tx1"/>
            </w14:solidFill>
          </w14:textFill>
        </w:rPr>
        <w:t>为</w:t>
      </w:r>
      <w:r>
        <w:rPr>
          <w:color w:val="000000" w:themeColor="text1"/>
          <w14:textFill>
            <w14:solidFill>
              <w14:schemeClr w14:val="tx1"/>
            </w14:solidFill>
          </w14:textFill>
        </w:rPr>
        <w:t>掌握仪器调试、设备操作、工艺应用以及显示的识别、解释和评价</w:t>
      </w:r>
      <w:r>
        <w:rPr>
          <w:rFonts w:hint="eastAsia"/>
          <w:color w:val="000000" w:themeColor="text1"/>
          <w14:textFill>
            <w14:solidFill>
              <w14:schemeClr w14:val="tx1"/>
            </w14:solidFill>
          </w14:textFill>
        </w:rPr>
        <w:t>的知识，</w:t>
      </w:r>
      <w:r>
        <w:rPr>
          <w:color w:val="000000" w:themeColor="text1"/>
          <w14:textFill>
            <w14:solidFill>
              <w14:schemeClr w14:val="tx1"/>
            </w14:solidFill>
          </w14:textFill>
        </w:rPr>
        <w:t>在相应的技术人员指导下，在工作环境中进行的培训</w:t>
      </w:r>
      <w:r>
        <w:rPr>
          <w:rFonts w:hint="eastAsia"/>
          <w:color w:val="000000" w:themeColor="text1"/>
          <w14:textFill>
            <w14:solidFill>
              <w14:schemeClr w14:val="tx1"/>
            </w14:solidFill>
          </w14:textFill>
        </w:rPr>
        <w:t>。</w:t>
      </w:r>
    </w:p>
    <w:p w14:paraId="7DB615B6">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3.26</w:t>
      </w:r>
    </w:p>
    <w:p w14:paraId="4D6BEFB6">
      <w:pPr>
        <w:pStyle w:val="46"/>
        <w:numPr>
          <w:ilvl w:val="0"/>
          <w:numId w:val="0"/>
        </w:numPr>
        <w:spacing w:before="0" w:beforeLines="0" w:after="156"/>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开卷考试 open book examination</w:t>
      </w:r>
    </w:p>
    <w:p w14:paraId="40D7F80D">
      <w:pPr>
        <w:pStyle w:val="15"/>
        <w:rPr>
          <w:color w:val="000000" w:themeColor="text1"/>
          <w14:textFill>
            <w14:solidFill>
              <w14:schemeClr w14:val="tx1"/>
            </w14:solidFill>
          </w14:textFill>
        </w:rPr>
      </w:pPr>
      <w:r>
        <w:rPr>
          <w:rFonts w:hint="eastAsia"/>
          <w:color w:val="000000" w:themeColor="text1"/>
          <w14:textFill>
            <w14:solidFill>
              <w14:schemeClr w14:val="tx1"/>
            </w14:solidFill>
          </w14:textFill>
        </w:rPr>
        <w:t>可以查阅由考试管理方提供的资料的考试方式。</w:t>
      </w:r>
    </w:p>
    <w:p w14:paraId="15F102CD">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3.27</w:t>
      </w:r>
    </w:p>
    <w:p w14:paraId="5A051E74">
      <w:pPr>
        <w:pStyle w:val="46"/>
        <w:numPr>
          <w:ilvl w:val="0"/>
          <w:numId w:val="0"/>
        </w:numPr>
        <w:spacing w:before="0" w:beforeLines="0" w:after="156"/>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操作授权operating approval</w:t>
      </w:r>
    </w:p>
    <w:p w14:paraId="116E39E3">
      <w:pPr>
        <w:pStyle w:val="15"/>
        <w:rPr>
          <w:color w:val="000000" w:themeColor="text1"/>
          <w14:textFill>
            <w14:solidFill>
              <w14:schemeClr w14:val="tx1"/>
            </w14:solidFill>
          </w14:textFill>
        </w:rPr>
      </w:pPr>
      <w:r>
        <w:rPr>
          <w:rFonts w:hint="eastAsia" w:ascii="宋体" w:hAnsi="Arial"/>
          <w:color w:val="000000" w:themeColor="text1"/>
          <w14:textFill>
            <w14:solidFill>
              <w14:schemeClr w14:val="tx1"/>
            </w14:solidFill>
          </w14:textFill>
        </w:rPr>
        <w:t>由雇主根据认证范围签发的，授权雇员执行指定任务的书面凭证。该授权也取决于雇主为其提供的岗位或专项任务的培训情况。</w:t>
      </w:r>
    </w:p>
    <w:p w14:paraId="5C42426A">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3.28</w:t>
      </w:r>
    </w:p>
    <w:p w14:paraId="74FAC029">
      <w:pPr>
        <w:pStyle w:val="46"/>
        <w:numPr>
          <w:ilvl w:val="0"/>
          <w:numId w:val="0"/>
        </w:numPr>
        <w:spacing w:before="0" w:beforeLines="0" w:after="156"/>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外界代理 outside agency</w:t>
      </w:r>
    </w:p>
    <w:p w14:paraId="52AAD510">
      <w:pPr>
        <w:pStyle w:val="15"/>
        <w:rPr>
          <w:color w:val="000000" w:themeColor="text1"/>
          <w14:textFill>
            <w14:solidFill>
              <w14:schemeClr w14:val="tx1"/>
            </w14:solidFill>
          </w14:textFill>
        </w:rPr>
      </w:pPr>
      <w:r>
        <w:rPr>
          <w:rFonts w:hint="eastAsia"/>
          <w:color w:val="000000" w:themeColor="text1"/>
          <w14:textFill>
            <w14:solidFill>
              <w14:schemeClr w14:val="tx1"/>
            </w14:solidFill>
          </w14:textFill>
        </w:rPr>
        <w:t>独立于雇主，按本标准为</w:t>
      </w:r>
      <w:r>
        <w:rPr>
          <w:rFonts w:hAnsi="宋体"/>
          <w:color w:val="000000" w:themeColor="text1"/>
          <w:szCs w:val="21"/>
          <w14:textFill>
            <w14:solidFill>
              <w14:schemeClr w14:val="tx1"/>
            </w14:solidFill>
          </w14:textFill>
        </w:rPr>
        <w:t>NDT</w:t>
      </w:r>
      <w:r>
        <w:rPr>
          <w:rFonts w:hint="eastAsia"/>
          <w:color w:val="000000" w:themeColor="text1"/>
          <w14:textFill>
            <w14:solidFill>
              <w14:schemeClr w14:val="tx1"/>
            </w14:solidFill>
          </w14:textFill>
        </w:rPr>
        <w:t>人员提供培训、考试以及任何其他</w:t>
      </w:r>
      <w:r>
        <w:rPr>
          <w:rFonts w:hAnsi="宋体"/>
          <w:color w:val="000000" w:themeColor="text1"/>
          <w:szCs w:val="21"/>
          <w14:textFill>
            <w14:solidFill>
              <w14:schemeClr w14:val="tx1"/>
            </w14:solidFill>
          </w14:textFill>
        </w:rPr>
        <w:t>NDT</w:t>
      </w:r>
      <w:r>
        <w:rPr>
          <w:rFonts w:hint="eastAsia"/>
          <w:color w:val="000000" w:themeColor="text1"/>
          <w14:textFill>
            <w14:solidFill>
              <w14:schemeClr w14:val="tx1"/>
            </w14:solidFill>
          </w14:textFill>
        </w:rPr>
        <w:t>服务的独立的公司或机构，包括</w:t>
      </w:r>
      <w:r>
        <w:rPr>
          <w:rFonts w:hint="eastAsia"/>
          <w:color w:val="0000FF"/>
        </w:rPr>
        <w:t>提供鉴定或者考试服务的</w:t>
      </w:r>
      <w:r>
        <w:rPr>
          <w:rFonts w:hint="eastAsia"/>
          <w:color w:val="0000FF"/>
          <w:lang w:eastAsia="zh-CN"/>
        </w:rPr>
        <w:t>中国民用航空维修协会无损检测人员资格鉴定专业委员会</w:t>
      </w:r>
      <w:r>
        <w:rPr>
          <w:rFonts w:hint="eastAsia"/>
          <w:color w:val="000000" w:themeColor="text1"/>
          <w14:textFill>
            <w14:solidFill>
              <w14:schemeClr w14:val="tx1"/>
            </w14:solidFill>
          </w14:textFill>
        </w:rPr>
        <w:t>、咨询机构和独立的个人</w:t>
      </w:r>
      <w:r>
        <w:rPr>
          <w:color w:val="000000" w:themeColor="text1"/>
          <w14:textFill>
            <w14:solidFill>
              <w14:schemeClr w14:val="tx1"/>
            </w14:solidFill>
          </w14:textFill>
        </w:rPr>
        <w:t>。</w:t>
      </w:r>
    </w:p>
    <w:p w14:paraId="0CC2738F">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3.29</w:t>
      </w:r>
    </w:p>
    <w:p w14:paraId="1AD7DA91">
      <w:pPr>
        <w:pStyle w:val="46"/>
        <w:numPr>
          <w:ilvl w:val="0"/>
          <w:numId w:val="0"/>
        </w:numPr>
        <w:spacing w:before="0" w:beforeLines="0" w:after="156"/>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实际操作考试 practical examination</w:t>
      </w:r>
    </w:p>
    <w:p w14:paraId="65E8A731">
      <w:pPr>
        <w:pStyle w:val="15"/>
        <w:rPr>
          <w:color w:val="000000" w:themeColor="text1"/>
          <w14:textFill>
            <w14:solidFill>
              <w14:schemeClr w14:val="tx1"/>
            </w14:solidFill>
          </w14:textFill>
        </w:rPr>
      </w:pPr>
      <w:r>
        <w:rPr>
          <w:rFonts w:hint="eastAsia"/>
          <w:color w:val="0000FF"/>
        </w:rPr>
        <w:t>考核申请人实施雇主所用</w:t>
      </w:r>
      <w:r>
        <w:rPr>
          <w:color w:val="0000FF"/>
        </w:rPr>
        <w:t>NDT</w:t>
      </w:r>
      <w:r>
        <w:rPr>
          <w:rFonts w:hint="eastAsia"/>
          <w:color w:val="0000FF"/>
        </w:rPr>
        <w:t>方法的能力的考试。</w:t>
      </w:r>
    </w:p>
    <w:p w14:paraId="52AD1793">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3.30</w:t>
      </w:r>
    </w:p>
    <w:p w14:paraId="556E5172">
      <w:pPr>
        <w:pStyle w:val="46"/>
        <w:numPr>
          <w:ilvl w:val="0"/>
          <w:numId w:val="0"/>
        </w:numPr>
        <w:spacing w:before="0" w:beforeLines="0" w:after="156"/>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主</w:t>
      </w:r>
      <w:r>
        <w:rPr>
          <w:color w:val="000000" w:themeColor="text1"/>
          <w14:textFill>
            <w14:solidFill>
              <w14:schemeClr w14:val="tx1"/>
            </w14:solidFill>
          </w14:textFill>
        </w:rPr>
        <w:t>承包</w:t>
      </w:r>
      <w:r>
        <w:rPr>
          <w:rFonts w:hint="eastAsia"/>
          <w:color w:val="000000" w:themeColor="text1"/>
          <w14:textFill>
            <w14:solidFill>
              <w14:schemeClr w14:val="tx1"/>
            </w14:solidFill>
          </w14:textFill>
        </w:rPr>
        <w:t>商</w:t>
      </w:r>
      <w:r>
        <w:rPr>
          <w:color w:val="000000" w:themeColor="text1"/>
          <w14:textFill>
            <w14:solidFill>
              <w14:schemeClr w14:val="tx1"/>
            </w14:solidFill>
          </w14:textFill>
        </w:rPr>
        <w:t xml:space="preserve"> prime contractor</w:t>
      </w:r>
    </w:p>
    <w:p w14:paraId="0437639A">
      <w:pPr>
        <w:pStyle w:val="15"/>
        <w:rPr>
          <w:color w:val="000000" w:themeColor="text1"/>
          <w14:textFill>
            <w14:solidFill>
              <w14:schemeClr w14:val="tx1"/>
            </w14:solidFill>
          </w14:textFill>
        </w:rPr>
      </w:pPr>
      <w:r>
        <w:rPr>
          <w:rFonts w:hint="eastAsia"/>
          <w:color w:val="000000" w:themeColor="text1"/>
          <w14:textFill>
            <w14:solidFill>
              <w14:schemeClr w14:val="tx1"/>
            </w14:solidFill>
          </w14:textFill>
        </w:rPr>
        <w:t>对系统、部件或产品的设计、控制和交付负全部责任的单位或组织</w:t>
      </w:r>
      <w:r>
        <w:rPr>
          <w:color w:val="000000" w:themeColor="text1"/>
          <w14:textFill>
            <w14:solidFill>
              <w14:schemeClr w14:val="tx1"/>
            </w14:solidFill>
          </w14:textFill>
        </w:rPr>
        <w:t>。</w:t>
      </w:r>
    </w:p>
    <w:p w14:paraId="56C4802E">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3.31</w:t>
      </w:r>
    </w:p>
    <w:p w14:paraId="4B763C3A">
      <w:pPr>
        <w:pStyle w:val="46"/>
        <w:numPr>
          <w:ilvl w:val="0"/>
          <w:numId w:val="0"/>
        </w:numPr>
        <w:spacing w:before="0" w:beforeLines="0" w:after="156"/>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工艺规程</w:t>
      </w:r>
      <w:r>
        <w:rPr>
          <w:color w:val="000000" w:themeColor="text1"/>
          <w14:textFill>
            <w14:solidFill>
              <w14:schemeClr w14:val="tx1"/>
            </w14:solidFill>
          </w14:textFill>
        </w:rPr>
        <w:t xml:space="preserve"> procedure</w:t>
      </w:r>
    </w:p>
    <w:p w14:paraId="7D9E227A">
      <w:pPr>
        <w:pStyle w:val="15"/>
        <w:rPr>
          <w:color w:val="0000FF"/>
        </w:rPr>
      </w:pPr>
      <w:r>
        <w:rPr>
          <w:rFonts w:hint="eastAsia"/>
          <w:color w:val="0000FF"/>
        </w:rPr>
        <w:t>针对特定过程实施的书面通用操作指南，工艺规程由于编制作业指导书。</w:t>
      </w:r>
    </w:p>
    <w:p w14:paraId="5F9A8D31">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3.32</w:t>
      </w:r>
    </w:p>
    <w:p w14:paraId="472773A2">
      <w:pPr>
        <w:pStyle w:val="46"/>
        <w:numPr>
          <w:ilvl w:val="0"/>
          <w:numId w:val="0"/>
        </w:numPr>
        <w:spacing w:before="0" w:beforeLines="0" w:after="156"/>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资格鉴定 qualification</w:t>
      </w:r>
    </w:p>
    <w:p w14:paraId="4F8BD7BB">
      <w:pPr>
        <w:pStyle w:val="15"/>
        <w:rPr>
          <w:color w:val="000000" w:themeColor="text1"/>
          <w14:textFill>
            <w14:solidFill>
              <w14:schemeClr w14:val="tx1"/>
            </w14:solidFill>
          </w14:textFill>
        </w:rPr>
      </w:pPr>
      <w:r>
        <w:rPr>
          <w:rFonts w:hint="eastAsia"/>
          <w:color w:val="000000" w:themeColor="text1"/>
          <w14:textFill>
            <w14:solidFill>
              <w14:schemeClr w14:val="tx1"/>
            </w14:solidFill>
          </w14:textFill>
        </w:rPr>
        <w:t>对特定级别人员正确完成工作所需的技能、培训、知识、</w:t>
      </w:r>
      <w:r>
        <w:rPr>
          <w:rFonts w:hint="eastAsia"/>
          <w:color w:val="0000FF"/>
        </w:rPr>
        <w:t>考试</w:t>
      </w:r>
      <w:r>
        <w:rPr>
          <w:rFonts w:hint="eastAsia"/>
          <w:color w:val="000000" w:themeColor="text1"/>
          <w14:textFill>
            <w14:solidFill>
              <w14:schemeClr w14:val="tx1"/>
            </w14:solidFill>
          </w14:textFill>
        </w:rPr>
        <w:t>、经历和视力等要求所做的验证。</w:t>
      </w:r>
    </w:p>
    <w:p w14:paraId="68051406">
      <w:pPr>
        <w:pStyle w:val="15"/>
        <w:rPr>
          <w:color w:val="000000" w:themeColor="text1"/>
          <w14:textFill>
            <w14:solidFill>
              <w14:schemeClr w14:val="tx1"/>
            </w14:solidFill>
          </w14:textFill>
        </w:rPr>
      </w:pPr>
    </w:p>
    <w:p w14:paraId="0D757CDB">
      <w:pPr>
        <w:pStyle w:val="15"/>
        <w:rPr>
          <w:color w:val="000000" w:themeColor="text1"/>
          <w14:textFill>
            <w14:solidFill>
              <w14:schemeClr w14:val="tx1"/>
            </w14:solidFill>
          </w14:textFill>
        </w:rPr>
      </w:pPr>
    </w:p>
    <w:p w14:paraId="4EBB7253">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3.33</w:t>
      </w:r>
    </w:p>
    <w:p w14:paraId="081DA72F">
      <w:pPr>
        <w:pStyle w:val="46"/>
        <w:numPr>
          <w:ilvl w:val="0"/>
          <w:numId w:val="0"/>
        </w:numPr>
        <w:spacing w:before="0" w:beforeLines="0" w:after="156"/>
        <w:ind w:firstLine="420" w:firstLineChars="200"/>
        <w:rPr>
          <w:color w:val="0000FF"/>
        </w:rPr>
      </w:pPr>
      <w:r>
        <w:rPr>
          <w:rFonts w:hint="eastAsia"/>
          <w:color w:val="0000FF"/>
        </w:rPr>
        <w:t>认可的NDT资格鉴定体系</w:t>
      </w:r>
      <w:r>
        <w:rPr>
          <w:color w:val="0000FF"/>
        </w:rPr>
        <w:t xml:space="preserve"> recognized NDT qualification program</w:t>
      </w:r>
    </w:p>
    <w:p w14:paraId="74A35F0F">
      <w:pPr>
        <w:pStyle w:val="15"/>
        <w:rPr>
          <w:color w:val="0000FF"/>
        </w:rPr>
      </w:pPr>
      <w:r>
        <w:rPr>
          <w:rFonts w:hint="eastAsia"/>
          <w:color w:val="0000FF"/>
        </w:rPr>
        <w:t>由</w:t>
      </w:r>
      <w:r>
        <w:rPr>
          <w:rFonts w:hint="eastAsia"/>
          <w:color w:val="0000FF"/>
          <w:lang w:eastAsia="zh-CN"/>
        </w:rPr>
        <w:t>中国民用航空维修协会无损检测人员资格鉴定专业委员会</w:t>
      </w:r>
      <w:r>
        <w:rPr>
          <w:rFonts w:hint="eastAsia"/>
          <w:color w:val="0000FF"/>
        </w:rPr>
        <w:t>或监管机构认可为满足</w:t>
      </w:r>
      <w:r>
        <w:rPr>
          <w:color w:val="0000FF"/>
        </w:rPr>
        <w:t>T/CAMAC 0001</w:t>
      </w:r>
      <w:r>
        <w:rPr>
          <w:rFonts w:hint="eastAsia"/>
          <w:color w:val="0000FF"/>
        </w:rPr>
        <w:t>关于培训和</w:t>
      </w:r>
      <w:r>
        <w:rPr>
          <w:color w:val="0000FF"/>
        </w:rPr>
        <w:t>/</w:t>
      </w:r>
      <w:r>
        <w:rPr>
          <w:rFonts w:hint="eastAsia"/>
          <w:color w:val="0000FF"/>
        </w:rPr>
        <w:t>或经验和</w:t>
      </w:r>
      <w:r>
        <w:rPr>
          <w:color w:val="0000FF"/>
        </w:rPr>
        <w:t>/</w:t>
      </w:r>
      <w:r>
        <w:rPr>
          <w:rFonts w:hint="eastAsia"/>
          <w:color w:val="0000FF"/>
        </w:rPr>
        <w:t>或考试要求的无损检测资格鉴定体系。</w:t>
      </w:r>
      <w:r>
        <w:rPr>
          <w:color w:val="0000FF"/>
        </w:rPr>
        <w:t>责任3级人员可将此类文件视为满足</w:t>
      </w:r>
      <w:r>
        <w:rPr>
          <w:rFonts w:hint="eastAsia"/>
          <w:color w:val="0000FF"/>
        </w:rPr>
        <w:t>T/CAMAC 0001</w:t>
      </w:r>
      <w:r>
        <w:rPr>
          <w:color w:val="0000FF"/>
        </w:rPr>
        <w:t>的相关要求，但须审查培训/经验/</w:t>
      </w:r>
      <w:r>
        <w:rPr>
          <w:rFonts w:hint="eastAsia"/>
          <w:color w:val="0000FF"/>
        </w:rPr>
        <w:t>考试</w:t>
      </w:r>
      <w:r>
        <w:rPr>
          <w:color w:val="0000FF"/>
        </w:rPr>
        <w:t>的范围，并确保任何补充要求得到满足。</w:t>
      </w:r>
    </w:p>
    <w:p w14:paraId="652FBFCA">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3.34</w:t>
      </w:r>
    </w:p>
    <w:p w14:paraId="73DDA62F">
      <w:pPr>
        <w:pStyle w:val="46"/>
        <w:numPr>
          <w:ilvl w:val="0"/>
          <w:numId w:val="0"/>
        </w:numPr>
        <w:spacing w:before="0" w:beforeLines="0" w:after="156"/>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责任3级人员</w:t>
      </w:r>
      <w:r>
        <w:rPr>
          <w:color w:val="000000" w:themeColor="text1"/>
          <w14:textFill>
            <w14:solidFill>
              <w14:schemeClr w14:val="tx1"/>
            </w14:solidFill>
          </w14:textFill>
        </w:rPr>
        <w:t xml:space="preserve"> responsible level 3</w:t>
      </w:r>
    </w:p>
    <w:p w14:paraId="193D584E">
      <w:pPr>
        <w:pStyle w:val="15"/>
        <w:rPr>
          <w:color w:val="000000" w:themeColor="text1"/>
          <w14:textFill>
            <w14:solidFill>
              <w14:schemeClr w14:val="tx1"/>
            </w14:solidFill>
          </w14:textFill>
        </w:rPr>
      </w:pPr>
      <w:r>
        <w:rPr>
          <w:rFonts w:hint="eastAsia"/>
          <w:color w:val="000000" w:themeColor="text1"/>
          <w14:textFill>
            <w14:solidFill>
              <w14:schemeClr w14:val="tx1"/>
            </w14:solidFill>
          </w14:textFill>
        </w:rPr>
        <w:t>由雇主指定的有责任和权力来</w:t>
      </w:r>
      <w:r>
        <w:rPr>
          <w:rFonts w:hint="eastAsia"/>
          <w:color w:val="0000FF"/>
        </w:rPr>
        <w:t>确保满足</w:t>
      </w:r>
      <w:r>
        <w:rPr>
          <w:rFonts w:hint="eastAsia"/>
          <w:color w:val="000000" w:themeColor="text1"/>
          <w14:textFill>
            <w14:solidFill>
              <w14:schemeClr w14:val="tx1"/>
            </w14:solidFill>
          </w14:textFill>
        </w:rPr>
        <w:t>本标准的要求并代表雇主履行职责的</w:t>
      </w:r>
      <w:r>
        <w:rPr>
          <w:color w:val="000000" w:themeColor="text1"/>
          <w14:textFill>
            <w14:solidFill>
              <w14:schemeClr w14:val="tx1"/>
            </w14:solidFill>
          </w14:textFill>
        </w:rPr>
        <w:t>NDT3</w:t>
      </w:r>
      <w:r>
        <w:rPr>
          <w:rFonts w:hint="eastAsia"/>
          <w:color w:val="000000" w:themeColor="text1"/>
          <w14:textFill>
            <w14:solidFill>
              <w14:schemeClr w14:val="tx1"/>
            </w14:solidFill>
          </w14:textFill>
        </w:rPr>
        <w:t>级人员。</w:t>
      </w:r>
    </w:p>
    <w:p w14:paraId="451521E1">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3.35</w:t>
      </w:r>
    </w:p>
    <w:p w14:paraId="56C198C4">
      <w:pPr>
        <w:pStyle w:val="46"/>
        <w:numPr>
          <w:ilvl w:val="0"/>
          <w:numId w:val="0"/>
        </w:numPr>
        <w:spacing w:before="0" w:beforeLines="0" w:after="156"/>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专业考试</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specific examination</w:t>
      </w:r>
    </w:p>
    <w:p w14:paraId="5C0E83D9">
      <w:pPr>
        <w:pStyle w:val="15"/>
        <w:rPr>
          <w:color w:val="000000" w:themeColor="text1"/>
          <w14:textFill>
            <w14:solidFill>
              <w14:schemeClr w14:val="tx1"/>
            </w14:solidFill>
          </w14:textFill>
        </w:rPr>
      </w:pPr>
      <w:r>
        <w:rPr>
          <w:rFonts w:hint="eastAsia"/>
          <w:color w:val="000000" w:themeColor="text1"/>
          <w14:textFill>
            <w14:solidFill>
              <w14:schemeClr w14:val="tx1"/>
            </w14:solidFill>
          </w14:textFill>
        </w:rPr>
        <w:t>考察</w:t>
      </w:r>
      <w:r>
        <w:rPr>
          <w:rFonts w:hAnsi="宋体"/>
          <w:color w:val="000000" w:themeColor="text1"/>
          <w:szCs w:val="21"/>
          <w14:textFill>
            <w14:solidFill>
              <w14:schemeClr w14:val="tx1"/>
            </w14:solidFill>
          </w14:textFill>
        </w:rPr>
        <w:t>NDT</w:t>
      </w:r>
      <w:r>
        <w:rPr>
          <w:rFonts w:hint="eastAsia"/>
          <w:color w:val="000000" w:themeColor="text1"/>
          <w14:textFill>
            <w14:solidFill>
              <w14:schemeClr w14:val="tx1"/>
            </w14:solidFill>
          </w14:textFill>
        </w:rPr>
        <w:t>人员对于雇主所使用的给定检测方法的操作程序、法规、标准、</w:t>
      </w:r>
      <w:r>
        <w:rPr>
          <w:rFonts w:hint="eastAsia"/>
          <w:color w:val="0000FF"/>
        </w:rPr>
        <w:t>产品知识</w:t>
      </w:r>
      <w:r>
        <w:rPr>
          <w:rFonts w:hint="eastAsia"/>
          <w:color w:val="000000" w:themeColor="text1"/>
          <w14:textFill>
            <w14:solidFill>
              <w14:schemeClr w14:val="tx1"/>
            </w14:solidFill>
          </w14:textFill>
        </w:rPr>
        <w:t>、</w:t>
      </w:r>
      <w:r>
        <w:rPr>
          <w:rFonts w:hint="eastAsia"/>
          <w:color w:val="0000FF"/>
        </w:rPr>
        <w:t>技术</w:t>
      </w:r>
      <w:r>
        <w:rPr>
          <w:rFonts w:hint="eastAsia"/>
          <w:color w:val="000000" w:themeColor="text1"/>
          <w14:textFill>
            <w14:solidFill>
              <w14:schemeClr w14:val="tx1"/>
            </w14:solidFill>
          </w14:textFill>
        </w:rPr>
        <w:t>、设备和规范理解程度的书面考试</w:t>
      </w:r>
      <w:r>
        <w:rPr>
          <w:color w:val="000000" w:themeColor="text1"/>
          <w14:textFill>
            <w14:solidFill>
              <w14:schemeClr w14:val="tx1"/>
            </w14:solidFill>
          </w14:textFill>
        </w:rPr>
        <w:t>。</w:t>
      </w:r>
    </w:p>
    <w:p w14:paraId="4B6D5948">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3.36</w:t>
      </w:r>
    </w:p>
    <w:p w14:paraId="3D06F121">
      <w:pPr>
        <w:pStyle w:val="46"/>
        <w:numPr>
          <w:ilvl w:val="0"/>
          <w:numId w:val="0"/>
        </w:numPr>
        <w:spacing w:before="0" w:beforeLines="0" w:after="156"/>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分包商 </w:t>
      </w:r>
      <w:r>
        <w:rPr>
          <w:color w:val="000000" w:themeColor="text1"/>
          <w14:textFill>
            <w14:solidFill>
              <w14:schemeClr w14:val="tx1"/>
            </w14:solidFill>
          </w14:textFill>
        </w:rPr>
        <w:t>sub-contractor</w:t>
      </w:r>
    </w:p>
    <w:p w14:paraId="4E5D4DE3">
      <w:pPr>
        <w:pStyle w:val="15"/>
        <w:rPr>
          <w:color w:val="000000" w:themeColor="text1"/>
          <w14:textFill>
            <w14:solidFill>
              <w14:schemeClr w14:val="tx1"/>
            </w14:solidFill>
          </w14:textFill>
        </w:rPr>
      </w:pPr>
      <w:r>
        <w:rPr>
          <w:rFonts w:hint="eastAsia"/>
          <w:color w:val="000000" w:themeColor="text1"/>
          <w14:textFill>
            <w14:solidFill>
              <w14:schemeClr w14:val="tx1"/>
            </w14:solidFill>
          </w14:textFill>
        </w:rPr>
        <w:t>负责为主承包商</w:t>
      </w:r>
      <w:r>
        <w:rPr>
          <w:rFonts w:hint="eastAsia"/>
          <w:color w:val="0000FF"/>
        </w:rPr>
        <w:t>制造或</w:t>
      </w:r>
      <w:r>
        <w:rPr>
          <w:rFonts w:hint="eastAsia"/>
          <w:color w:val="000000" w:themeColor="text1"/>
          <w14:textFill>
            <w14:solidFill>
              <w14:schemeClr w14:val="tx1"/>
            </w14:solidFill>
          </w14:textFill>
        </w:rPr>
        <w:t>维修航空产品的组织或单位，包括供应商和</w:t>
      </w:r>
      <w:r>
        <w:rPr>
          <w:rFonts w:hint="eastAsia"/>
          <w:color w:val="0000FF"/>
        </w:rPr>
        <w:t>加工</w:t>
      </w:r>
      <w:r>
        <w:rPr>
          <w:rFonts w:hint="eastAsia"/>
          <w:color w:val="000000" w:themeColor="text1"/>
          <w14:textFill>
            <w14:solidFill>
              <w14:schemeClr w14:val="tx1"/>
            </w14:solidFill>
          </w14:textFill>
        </w:rPr>
        <w:t>商。</w:t>
      </w:r>
    </w:p>
    <w:p w14:paraId="59613E62">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3.37</w:t>
      </w:r>
    </w:p>
    <w:p w14:paraId="02A310F1">
      <w:pPr>
        <w:pStyle w:val="46"/>
        <w:numPr>
          <w:ilvl w:val="0"/>
          <w:numId w:val="0"/>
        </w:numPr>
        <w:spacing w:before="0" w:beforeLines="0" w:after="156"/>
        <w:ind w:firstLine="420" w:firstLineChars="200"/>
        <w:rPr>
          <w:color w:val="0000FF"/>
        </w:rPr>
      </w:pPr>
      <w:r>
        <w:rPr>
          <w:rFonts w:hint="eastAsia"/>
          <w:color w:val="0000FF"/>
        </w:rPr>
        <w:t>任务</w:t>
      </w:r>
      <w:r>
        <w:rPr>
          <w:color w:val="0000FF"/>
        </w:rPr>
        <w:t xml:space="preserve"> task</w:t>
      </w:r>
    </w:p>
    <w:p w14:paraId="44CDB123">
      <w:pPr>
        <w:pStyle w:val="15"/>
        <w:rPr>
          <w:color w:val="000000" w:themeColor="text1"/>
          <w14:textFill>
            <w14:solidFill>
              <w14:schemeClr w14:val="tx1"/>
            </w14:solidFill>
          </w14:textFill>
        </w:rPr>
      </w:pPr>
      <w:r>
        <w:rPr>
          <w:rFonts w:hint="eastAsia"/>
          <w:color w:val="0000FF"/>
        </w:rPr>
        <w:t>3级人员采用积分重新认证时需经认证的活动。</w:t>
      </w:r>
    </w:p>
    <w:p w14:paraId="23C2B5D9">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3.38</w:t>
      </w:r>
    </w:p>
    <w:p w14:paraId="7FC70465">
      <w:pPr>
        <w:pStyle w:val="46"/>
        <w:numPr>
          <w:ilvl w:val="0"/>
          <w:numId w:val="0"/>
        </w:numPr>
        <w:spacing w:before="0" w:beforeLines="0" w:after="156"/>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技术</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technique</w:t>
      </w:r>
    </w:p>
    <w:p w14:paraId="11008A3C">
      <w:pPr>
        <w:pStyle w:val="15"/>
        <w:rPr>
          <w:color w:val="0000FF"/>
        </w:rPr>
      </w:pPr>
      <w:r>
        <w:rPr>
          <w:rFonts w:hint="eastAsia"/>
          <w:color w:val="0000FF"/>
        </w:rPr>
        <w:t>雇主书面实施规程中定义的某种检测方法的类别。</w:t>
      </w:r>
    </w:p>
    <w:p w14:paraId="7A80164A">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3.39</w:t>
      </w:r>
    </w:p>
    <w:p w14:paraId="1EE40B6C">
      <w:pPr>
        <w:pStyle w:val="46"/>
        <w:numPr>
          <w:ilvl w:val="0"/>
          <w:numId w:val="0"/>
        </w:numPr>
        <w:spacing w:before="0" w:beforeLines="0" w:after="156"/>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考试</w:t>
      </w:r>
      <w:r>
        <w:rPr>
          <w:color w:val="000000" w:themeColor="text1"/>
          <w14:textFill>
            <w14:solidFill>
              <w14:schemeClr w14:val="tx1"/>
            </w14:solidFill>
          </w14:textFill>
        </w:rPr>
        <w:t>试样</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test sample</w:t>
      </w:r>
    </w:p>
    <w:p w14:paraId="2D96EF80">
      <w:pPr>
        <w:pStyle w:val="15"/>
        <w:rPr>
          <w:color w:val="0000FF"/>
        </w:rPr>
      </w:pPr>
      <w:r>
        <w:rPr>
          <w:rFonts w:hint="eastAsia"/>
          <w:color w:val="000000" w:themeColor="text1"/>
          <w14:textFill>
            <w14:solidFill>
              <w14:schemeClr w14:val="tx1"/>
            </w14:solidFill>
          </w14:textFill>
        </w:rPr>
        <w:t>在实际操作考试中，为考察申请人使用某种检测方法的熟练程度所使用的存在已知并备案的自然或人工不连续、缺陷或状态的零件或影像。</w:t>
      </w:r>
      <w:r>
        <w:rPr>
          <w:rFonts w:hint="eastAsia"/>
          <w:color w:val="0000FF"/>
        </w:rPr>
        <w:t>考试试样可以是实际零件、加工的测试件或者适用的情况下，实际零件的影像，例如射线底片。</w:t>
      </w:r>
    </w:p>
    <w:p w14:paraId="11AA88E3">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3.40</w:t>
      </w:r>
    </w:p>
    <w:p w14:paraId="565218AC">
      <w:pPr>
        <w:pStyle w:val="46"/>
        <w:numPr>
          <w:ilvl w:val="0"/>
          <w:numId w:val="0"/>
        </w:numPr>
        <w:spacing w:before="0" w:beforeLines="0" w:after="156"/>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作业指导书</w:t>
      </w:r>
      <w:r>
        <w:rPr>
          <w:color w:val="000000" w:themeColor="text1"/>
          <w14:textFill>
            <w14:solidFill>
              <w14:schemeClr w14:val="tx1"/>
            </w14:solidFill>
          </w14:textFill>
        </w:rPr>
        <w:t xml:space="preserve"> work instruction</w:t>
      </w:r>
    </w:p>
    <w:p w14:paraId="26895EC5">
      <w:pPr>
        <w:pStyle w:val="15"/>
        <w:rPr>
          <w:color w:val="0000FF"/>
        </w:rPr>
      </w:pPr>
      <w:r>
        <w:rPr>
          <w:rFonts w:hint="eastAsia"/>
          <w:color w:val="0000FF"/>
        </w:rPr>
        <w:t>为检测特定零件、组件或装配件而编制的详细规定</w:t>
      </w:r>
      <w:r>
        <w:rPr>
          <w:color w:val="0000FF"/>
        </w:rPr>
        <w:t>NDT</w:t>
      </w:r>
      <w:r>
        <w:rPr>
          <w:rFonts w:hint="eastAsia"/>
          <w:color w:val="0000FF"/>
        </w:rPr>
        <w:t>技术和检测参数的文件。在某些领域也称为“工艺单”或者“数据卡”。作业指导书依据工艺规程制定。</w:t>
      </w:r>
    </w:p>
    <w:p w14:paraId="0A63086F">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3.41</w:t>
      </w:r>
    </w:p>
    <w:p w14:paraId="14473F00">
      <w:pPr>
        <w:pStyle w:val="46"/>
        <w:numPr>
          <w:ilvl w:val="0"/>
          <w:numId w:val="0"/>
        </w:numPr>
        <w:spacing w:before="0" w:beforeLines="0" w:after="156"/>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书面文件 </w:t>
      </w:r>
      <w:r>
        <w:rPr>
          <w:rFonts w:hint="eastAsia"/>
          <w:color w:val="000000" w:themeColor="text1"/>
          <w14:textFill>
            <w14:solidFill>
              <w14:schemeClr w14:val="tx1"/>
            </w14:solidFill>
          </w14:textFill>
        </w:rPr>
        <w:t>written</w:t>
      </w:r>
    </w:p>
    <w:p w14:paraId="259A501C">
      <w:pPr>
        <w:pStyle w:val="15"/>
        <w:rPr>
          <w:color w:val="000000" w:themeColor="text1"/>
          <w14:textFill>
            <w14:solidFill>
              <w14:schemeClr w14:val="tx1"/>
            </w14:solidFill>
          </w14:textFill>
        </w:rPr>
      </w:pPr>
      <w:r>
        <w:rPr>
          <w:rFonts w:hint="eastAsia"/>
          <w:color w:val="0000FF"/>
        </w:rPr>
        <w:t>可追溯的电子或纸质文件</w:t>
      </w:r>
      <w:r>
        <w:rPr>
          <w:rFonts w:hint="eastAsia"/>
          <w:color w:val="000000" w:themeColor="text1"/>
          <w14:textFill>
            <w14:solidFill>
              <w14:schemeClr w14:val="tx1"/>
            </w14:solidFill>
          </w14:textFill>
        </w:rPr>
        <w:t>。</w:t>
      </w:r>
    </w:p>
    <w:p w14:paraId="728F1571">
      <w:pPr>
        <w:pStyle w:val="15"/>
        <w:ind w:firstLine="0" w:firstLineChars="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3.42</w:t>
      </w:r>
    </w:p>
    <w:p w14:paraId="76368B74">
      <w:pPr>
        <w:pStyle w:val="46"/>
        <w:numPr>
          <w:ilvl w:val="0"/>
          <w:numId w:val="0"/>
        </w:numPr>
        <w:spacing w:before="0" w:beforeLines="0" w:after="156"/>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书面实施规程</w:t>
      </w:r>
      <w:r>
        <w:rPr>
          <w:color w:val="000000" w:themeColor="text1"/>
          <w14:textFill>
            <w14:solidFill>
              <w14:schemeClr w14:val="tx1"/>
            </w14:solidFill>
          </w14:textFill>
        </w:rPr>
        <w:t xml:space="preserve"> written practice</w:t>
      </w:r>
    </w:p>
    <w:p w14:paraId="6F98DD88">
      <w:pPr>
        <w:pStyle w:val="15"/>
        <w:rPr>
          <w:color w:val="000000" w:themeColor="text1"/>
          <w14:textFill>
            <w14:solidFill>
              <w14:schemeClr w14:val="tx1"/>
            </w14:solidFill>
          </w14:textFill>
        </w:rPr>
      </w:pPr>
      <w:r>
        <w:rPr>
          <w:rFonts w:hint="eastAsia" w:ascii="宋体" w:hAnsi="Arial"/>
          <w:color w:val="000000" w:themeColor="text1"/>
          <w14:textFill>
            <w14:solidFill>
              <w14:schemeClr w14:val="tx1"/>
            </w14:solidFill>
          </w14:textFill>
        </w:rPr>
        <w:t>雇主为</w:t>
      </w:r>
      <w:r>
        <w:rPr>
          <w:rFonts w:hint="eastAsia"/>
          <w:color w:val="000000" w:themeColor="text1"/>
          <w14:textFill>
            <w14:solidFill>
              <w14:schemeClr w14:val="tx1"/>
            </w14:solidFill>
          </w14:textFill>
        </w:rPr>
        <w:t>控制和管理</w:t>
      </w:r>
      <w:r>
        <w:rPr>
          <w:rFonts w:ascii="宋体" w:hAnsi="宋体"/>
          <w:color w:val="000000" w:themeColor="text1"/>
          <w:szCs w:val="21"/>
          <w14:textFill>
            <w14:solidFill>
              <w14:schemeClr w14:val="tx1"/>
            </w14:solidFill>
          </w14:textFill>
        </w:rPr>
        <w:t>NDT</w:t>
      </w:r>
      <w:r>
        <w:rPr>
          <w:rFonts w:hint="eastAsia"/>
          <w:color w:val="000000" w:themeColor="text1"/>
          <w14:textFill>
            <w14:solidFill>
              <w14:schemeClr w14:val="tx1"/>
            </w14:solidFill>
          </w14:textFill>
        </w:rPr>
        <w:t>人员资格鉴定与认证</w:t>
      </w:r>
      <w:r>
        <w:rPr>
          <w:rFonts w:hint="eastAsia" w:ascii="宋体" w:hAnsi="Arial"/>
          <w:color w:val="000000" w:themeColor="text1"/>
          <w14:textFill>
            <w14:solidFill>
              <w14:schemeClr w14:val="tx1"/>
            </w14:solidFill>
          </w14:textFill>
        </w:rPr>
        <w:t>所编制的</w:t>
      </w:r>
      <w:r>
        <w:rPr>
          <w:rFonts w:hint="eastAsia"/>
          <w:color w:val="000000" w:themeColor="text1"/>
          <w14:textFill>
            <w14:solidFill>
              <w14:schemeClr w14:val="tx1"/>
            </w14:solidFill>
          </w14:textFill>
        </w:rPr>
        <w:t>程序。</w:t>
      </w:r>
    </w:p>
    <w:p w14:paraId="443A59CD">
      <w:pPr>
        <w:pStyle w:val="15"/>
        <w:rPr>
          <w:color w:val="000000" w:themeColor="text1"/>
          <w14:textFill>
            <w14:solidFill>
              <w14:schemeClr w14:val="tx1"/>
            </w14:solidFill>
          </w14:textFill>
        </w:rPr>
      </w:pPr>
    </w:p>
    <w:p w14:paraId="17ED31B7">
      <w:pPr>
        <w:pStyle w:val="45"/>
        <w:spacing w:before="312" w:after="312"/>
        <w:rPr>
          <w:color w:val="000000" w:themeColor="text1"/>
          <w14:textFill>
            <w14:solidFill>
              <w14:schemeClr w14:val="tx1"/>
            </w14:solidFill>
          </w14:textFill>
        </w:rPr>
      </w:pPr>
      <w:bookmarkStart w:id="22" w:name="_Toc225885394"/>
      <w:bookmarkEnd w:id="22"/>
      <w:bookmarkStart w:id="23" w:name="_Toc225884777"/>
      <w:bookmarkEnd w:id="23"/>
      <w:bookmarkStart w:id="24" w:name="_Toc225885595"/>
      <w:bookmarkEnd w:id="24"/>
      <w:bookmarkStart w:id="25" w:name="_Toc225884775"/>
      <w:bookmarkEnd w:id="25"/>
      <w:bookmarkStart w:id="26" w:name="_Toc225885599"/>
      <w:bookmarkEnd w:id="26"/>
      <w:bookmarkStart w:id="27" w:name="_Toc225885188"/>
      <w:bookmarkEnd w:id="27"/>
      <w:bookmarkStart w:id="28" w:name="_Toc225885395"/>
      <w:bookmarkEnd w:id="28"/>
      <w:bookmarkStart w:id="29" w:name="_Toc225885598"/>
      <w:bookmarkEnd w:id="29"/>
      <w:bookmarkStart w:id="30" w:name="_Toc225885600"/>
      <w:bookmarkEnd w:id="30"/>
      <w:bookmarkStart w:id="31" w:name="_Toc225884978"/>
      <w:bookmarkEnd w:id="31"/>
      <w:bookmarkStart w:id="32" w:name="_Toc225885594"/>
      <w:bookmarkEnd w:id="32"/>
      <w:bookmarkStart w:id="33" w:name="_Toc225885185"/>
      <w:bookmarkEnd w:id="33"/>
      <w:bookmarkStart w:id="34" w:name="_Toc225884976"/>
      <w:bookmarkEnd w:id="34"/>
      <w:bookmarkStart w:id="35" w:name="_Toc225885392"/>
      <w:bookmarkEnd w:id="35"/>
      <w:bookmarkStart w:id="36" w:name="_Toc225885186"/>
      <w:bookmarkEnd w:id="36"/>
      <w:bookmarkStart w:id="37" w:name="_Toc225884980"/>
      <w:bookmarkEnd w:id="37"/>
      <w:bookmarkStart w:id="38" w:name="_Toc240124491"/>
      <w:bookmarkEnd w:id="38"/>
      <w:bookmarkStart w:id="39" w:name="_Toc225884975"/>
      <w:bookmarkEnd w:id="39"/>
      <w:bookmarkStart w:id="40" w:name="_Toc225884568"/>
      <w:bookmarkEnd w:id="40"/>
      <w:bookmarkStart w:id="41" w:name="_Toc225884364"/>
      <w:bookmarkEnd w:id="41"/>
      <w:bookmarkStart w:id="42" w:name="_Toc225885187"/>
      <w:bookmarkEnd w:id="42"/>
      <w:bookmarkStart w:id="43" w:name="_Toc225884365"/>
      <w:bookmarkEnd w:id="43"/>
      <w:bookmarkStart w:id="44" w:name="_Toc240124496"/>
      <w:bookmarkEnd w:id="44"/>
      <w:bookmarkStart w:id="45" w:name="_Toc225884366"/>
      <w:bookmarkEnd w:id="45"/>
      <w:bookmarkStart w:id="46" w:name="_Toc225885393"/>
      <w:bookmarkEnd w:id="46"/>
      <w:bookmarkStart w:id="47" w:name="_Toc225884572"/>
      <w:bookmarkEnd w:id="47"/>
      <w:bookmarkStart w:id="48" w:name="_Toc225884773"/>
      <w:bookmarkEnd w:id="48"/>
      <w:bookmarkStart w:id="49" w:name="_Toc225884977"/>
      <w:bookmarkEnd w:id="49"/>
      <w:bookmarkStart w:id="50" w:name="_Toc225884571"/>
      <w:bookmarkEnd w:id="50"/>
      <w:bookmarkStart w:id="51" w:name="_Toc225884778"/>
      <w:bookmarkEnd w:id="51"/>
      <w:bookmarkStart w:id="52" w:name="_Toc240124495"/>
      <w:bookmarkEnd w:id="52"/>
      <w:bookmarkStart w:id="53" w:name="_Toc225885390"/>
      <w:bookmarkEnd w:id="53"/>
      <w:bookmarkStart w:id="54" w:name="_Toc240124489"/>
      <w:bookmarkEnd w:id="54"/>
      <w:bookmarkStart w:id="55" w:name="_Toc225884982"/>
      <w:bookmarkEnd w:id="55"/>
      <w:bookmarkStart w:id="56" w:name="_Toc225884566"/>
      <w:bookmarkEnd w:id="56"/>
      <w:bookmarkStart w:id="57" w:name="_Toc225884360"/>
      <w:bookmarkEnd w:id="57"/>
      <w:bookmarkStart w:id="58" w:name="_Toc225884363"/>
      <w:bookmarkEnd w:id="58"/>
      <w:bookmarkStart w:id="59" w:name="_Toc225884981"/>
      <w:bookmarkEnd w:id="59"/>
      <w:bookmarkStart w:id="60" w:name="_Toc225885181"/>
      <w:bookmarkEnd w:id="60"/>
      <w:bookmarkStart w:id="61" w:name="_Toc225885389"/>
      <w:bookmarkEnd w:id="61"/>
      <w:bookmarkStart w:id="62" w:name="_Toc225885391"/>
      <w:bookmarkEnd w:id="62"/>
      <w:bookmarkStart w:id="63" w:name="_Toc225884362"/>
      <w:bookmarkEnd w:id="63"/>
      <w:bookmarkStart w:id="64" w:name="_Toc225885593"/>
      <w:bookmarkEnd w:id="64"/>
      <w:bookmarkStart w:id="65" w:name="_Toc240124492"/>
      <w:bookmarkEnd w:id="65"/>
      <w:bookmarkStart w:id="66" w:name="_Toc240124490"/>
      <w:bookmarkEnd w:id="66"/>
      <w:bookmarkStart w:id="67" w:name="_Toc225885597"/>
      <w:bookmarkEnd w:id="67"/>
      <w:bookmarkStart w:id="68" w:name="_Toc225884774"/>
      <w:bookmarkEnd w:id="68"/>
      <w:bookmarkStart w:id="69" w:name="_Toc225885388"/>
      <w:bookmarkEnd w:id="69"/>
      <w:bookmarkStart w:id="70" w:name="_Toc225885184"/>
      <w:bookmarkEnd w:id="70"/>
      <w:bookmarkStart w:id="71" w:name="_Toc225885183"/>
      <w:bookmarkEnd w:id="71"/>
      <w:bookmarkStart w:id="72" w:name="_Toc225884567"/>
      <w:bookmarkEnd w:id="72"/>
      <w:bookmarkStart w:id="73" w:name="_Toc240124494"/>
      <w:bookmarkEnd w:id="73"/>
      <w:bookmarkStart w:id="74" w:name="_Toc225885596"/>
      <w:bookmarkEnd w:id="74"/>
      <w:bookmarkStart w:id="75" w:name="_Toc225884570"/>
      <w:bookmarkEnd w:id="75"/>
      <w:bookmarkStart w:id="76" w:name="_Toc225884359"/>
      <w:bookmarkEnd w:id="76"/>
      <w:bookmarkStart w:id="77" w:name="_Toc225885182"/>
      <w:bookmarkEnd w:id="77"/>
      <w:bookmarkStart w:id="78" w:name="_Toc225884772"/>
      <w:bookmarkEnd w:id="78"/>
      <w:bookmarkStart w:id="79" w:name="_Toc225884361"/>
      <w:bookmarkEnd w:id="79"/>
      <w:bookmarkStart w:id="80" w:name="_Toc225884565"/>
      <w:bookmarkEnd w:id="80"/>
      <w:bookmarkStart w:id="81" w:name="_Toc225884771"/>
      <w:bookmarkEnd w:id="81"/>
      <w:bookmarkStart w:id="82" w:name="_Toc240124493"/>
      <w:bookmarkEnd w:id="82"/>
      <w:bookmarkStart w:id="83" w:name="_Toc225884569"/>
      <w:bookmarkEnd w:id="83"/>
      <w:bookmarkStart w:id="84" w:name="_Toc225884979"/>
      <w:bookmarkEnd w:id="84"/>
      <w:bookmarkStart w:id="85" w:name="_Toc225884776"/>
      <w:bookmarkEnd w:id="85"/>
      <w:bookmarkStart w:id="86" w:name="_Toc225884367"/>
      <w:bookmarkEnd w:id="86"/>
      <w:bookmarkStart w:id="87" w:name="_Toc225885603"/>
      <w:bookmarkEnd w:id="87"/>
      <w:bookmarkStart w:id="88" w:name="_Toc225885189"/>
      <w:bookmarkEnd w:id="88"/>
      <w:bookmarkStart w:id="89" w:name="_Toc225885190"/>
      <w:bookmarkEnd w:id="89"/>
      <w:bookmarkStart w:id="90" w:name="_Toc225885191"/>
      <w:bookmarkEnd w:id="90"/>
      <w:bookmarkStart w:id="91" w:name="_Toc225885398"/>
      <w:bookmarkEnd w:id="91"/>
      <w:bookmarkStart w:id="92" w:name="_Toc225885399"/>
      <w:bookmarkEnd w:id="92"/>
      <w:bookmarkStart w:id="93" w:name="_Toc240124498"/>
      <w:bookmarkEnd w:id="93"/>
      <w:bookmarkStart w:id="94" w:name="_Toc240124500"/>
      <w:bookmarkEnd w:id="94"/>
      <w:bookmarkStart w:id="95" w:name="_Toc225884370"/>
      <w:bookmarkEnd w:id="95"/>
      <w:bookmarkStart w:id="96" w:name="_Toc240124501"/>
      <w:bookmarkEnd w:id="96"/>
      <w:bookmarkStart w:id="97" w:name="_Toc225884372"/>
      <w:bookmarkEnd w:id="97"/>
      <w:bookmarkStart w:id="98" w:name="_Toc225884578"/>
      <w:bookmarkEnd w:id="98"/>
      <w:bookmarkStart w:id="99" w:name="_Toc225884373"/>
      <w:bookmarkEnd w:id="99"/>
      <w:bookmarkStart w:id="100" w:name="_Toc225884785"/>
      <w:bookmarkEnd w:id="100"/>
      <w:bookmarkStart w:id="101" w:name="_Toc225885608"/>
      <w:bookmarkEnd w:id="101"/>
      <w:bookmarkStart w:id="102" w:name="_Toc225884374"/>
      <w:bookmarkEnd w:id="102"/>
      <w:bookmarkStart w:id="103" w:name="_Toc225884368"/>
      <w:bookmarkEnd w:id="103"/>
      <w:bookmarkStart w:id="104" w:name="_Toc240124503"/>
      <w:bookmarkEnd w:id="104"/>
      <w:bookmarkStart w:id="105" w:name="_Toc225884784"/>
      <w:bookmarkEnd w:id="105"/>
      <w:bookmarkStart w:id="106" w:name="_Toc225884781"/>
      <w:bookmarkEnd w:id="106"/>
      <w:bookmarkStart w:id="107" w:name="_Toc225885192"/>
      <w:bookmarkEnd w:id="107"/>
      <w:bookmarkStart w:id="108" w:name="_Toc225885193"/>
      <w:bookmarkEnd w:id="108"/>
      <w:bookmarkStart w:id="109" w:name="_Toc225885605"/>
      <w:bookmarkEnd w:id="109"/>
      <w:bookmarkStart w:id="110" w:name="_Toc225884989"/>
      <w:bookmarkEnd w:id="110"/>
      <w:bookmarkStart w:id="111" w:name="_Toc225885403"/>
      <w:bookmarkEnd w:id="111"/>
      <w:bookmarkStart w:id="112" w:name="_Toc240124497"/>
      <w:bookmarkEnd w:id="112"/>
      <w:bookmarkStart w:id="113" w:name="_Toc225885396"/>
      <w:bookmarkEnd w:id="113"/>
      <w:bookmarkStart w:id="114" w:name="_Toc225885402"/>
      <w:bookmarkEnd w:id="114"/>
      <w:bookmarkStart w:id="115" w:name="_Toc240124499"/>
      <w:bookmarkEnd w:id="115"/>
      <w:bookmarkStart w:id="116" w:name="_Toc225884983"/>
      <w:bookmarkEnd w:id="116"/>
      <w:bookmarkStart w:id="117" w:name="_Toc225884984"/>
      <w:bookmarkEnd w:id="117"/>
      <w:bookmarkStart w:id="118" w:name="_Toc225884985"/>
      <w:bookmarkEnd w:id="118"/>
      <w:bookmarkStart w:id="119" w:name="_Toc225884576"/>
      <w:bookmarkEnd w:id="119"/>
      <w:bookmarkStart w:id="120" w:name="_Toc225885397"/>
      <w:bookmarkEnd w:id="120"/>
      <w:bookmarkStart w:id="121" w:name="_Toc225885400"/>
      <w:bookmarkEnd w:id="121"/>
      <w:bookmarkStart w:id="122" w:name="_Toc225885401"/>
      <w:bookmarkEnd w:id="122"/>
      <w:bookmarkStart w:id="123" w:name="_Toc225885606"/>
      <w:bookmarkEnd w:id="123"/>
      <w:bookmarkStart w:id="124" w:name="_Toc240124502"/>
      <w:bookmarkEnd w:id="124"/>
      <w:bookmarkStart w:id="125" w:name="_Toc225884988"/>
      <w:bookmarkEnd w:id="125"/>
      <w:bookmarkStart w:id="126" w:name="_Toc225885602"/>
      <w:bookmarkEnd w:id="126"/>
      <w:bookmarkStart w:id="127" w:name="_Toc225885607"/>
      <w:bookmarkEnd w:id="127"/>
      <w:bookmarkStart w:id="128" w:name="_Toc225884579"/>
      <w:bookmarkEnd w:id="128"/>
      <w:bookmarkStart w:id="129" w:name="_Toc225884779"/>
      <w:bookmarkEnd w:id="129"/>
      <w:bookmarkStart w:id="130" w:name="_Toc225885604"/>
      <w:bookmarkEnd w:id="130"/>
      <w:bookmarkStart w:id="131" w:name="_Toc225884371"/>
      <w:bookmarkEnd w:id="131"/>
      <w:bookmarkStart w:id="132" w:name="_Toc225884783"/>
      <w:bookmarkEnd w:id="132"/>
      <w:bookmarkStart w:id="133" w:name="_Toc225885195"/>
      <w:bookmarkEnd w:id="133"/>
      <w:bookmarkStart w:id="134" w:name="_Toc225884574"/>
      <w:bookmarkEnd w:id="134"/>
      <w:bookmarkStart w:id="135" w:name="_Toc225885194"/>
      <w:bookmarkEnd w:id="135"/>
      <w:bookmarkStart w:id="136" w:name="_Toc225885196"/>
      <w:bookmarkEnd w:id="136"/>
      <w:bookmarkStart w:id="137" w:name="_Toc240124504"/>
      <w:bookmarkEnd w:id="137"/>
      <w:bookmarkStart w:id="138" w:name="_Toc225884580"/>
      <w:bookmarkEnd w:id="138"/>
      <w:bookmarkStart w:id="139" w:name="_Toc225884786"/>
      <w:bookmarkEnd w:id="139"/>
      <w:bookmarkStart w:id="140" w:name="_Toc225884990"/>
      <w:bookmarkEnd w:id="140"/>
      <w:bookmarkStart w:id="141" w:name="_Toc225885601"/>
      <w:bookmarkEnd w:id="141"/>
      <w:bookmarkStart w:id="142" w:name="_Toc225884573"/>
      <w:bookmarkEnd w:id="142"/>
      <w:bookmarkStart w:id="143" w:name="_Toc225884369"/>
      <w:bookmarkEnd w:id="143"/>
      <w:bookmarkStart w:id="144" w:name="_Toc225884575"/>
      <w:bookmarkEnd w:id="144"/>
      <w:bookmarkStart w:id="145" w:name="_Toc225884782"/>
      <w:bookmarkEnd w:id="145"/>
      <w:bookmarkStart w:id="146" w:name="_Toc225884780"/>
      <w:bookmarkEnd w:id="146"/>
      <w:bookmarkStart w:id="147" w:name="_Toc225884986"/>
      <w:bookmarkEnd w:id="147"/>
      <w:bookmarkStart w:id="148" w:name="_Toc225884577"/>
      <w:bookmarkEnd w:id="148"/>
      <w:bookmarkStart w:id="149" w:name="_Toc225884987"/>
      <w:bookmarkEnd w:id="149"/>
      <w:bookmarkStart w:id="150" w:name="_Toc225885198"/>
      <w:bookmarkEnd w:id="150"/>
      <w:bookmarkStart w:id="151" w:name="_Toc225884791"/>
      <w:bookmarkEnd w:id="151"/>
      <w:bookmarkStart w:id="152" w:name="_Toc225884587"/>
      <w:bookmarkEnd w:id="152"/>
      <w:bookmarkStart w:id="153" w:name="_Toc225884581"/>
      <w:bookmarkEnd w:id="153"/>
      <w:bookmarkStart w:id="154" w:name="_Toc225884377"/>
      <w:bookmarkEnd w:id="154"/>
      <w:bookmarkStart w:id="155" w:name="_Toc225884790"/>
      <w:bookmarkEnd w:id="155"/>
      <w:bookmarkStart w:id="156" w:name="_Toc240124507"/>
      <w:bookmarkEnd w:id="156"/>
      <w:bookmarkStart w:id="157" w:name="_Toc225884381"/>
      <w:bookmarkEnd w:id="157"/>
      <w:bookmarkStart w:id="158" w:name="_Toc225884997"/>
      <w:bookmarkEnd w:id="158"/>
      <w:bookmarkStart w:id="159" w:name="_Toc225885204"/>
      <w:bookmarkEnd w:id="159"/>
      <w:bookmarkStart w:id="160" w:name="_Toc225884991"/>
      <w:bookmarkEnd w:id="160"/>
      <w:bookmarkStart w:id="161" w:name="_Toc225885611"/>
      <w:bookmarkEnd w:id="161"/>
      <w:bookmarkStart w:id="162" w:name="_Toc225885202"/>
      <w:bookmarkEnd w:id="162"/>
      <w:bookmarkStart w:id="163" w:name="_Toc225885613"/>
      <w:bookmarkEnd w:id="163"/>
      <w:bookmarkStart w:id="164" w:name="_Toc225885411"/>
      <w:bookmarkEnd w:id="164"/>
      <w:bookmarkStart w:id="165" w:name="_Toc225884585"/>
      <w:bookmarkEnd w:id="165"/>
      <w:bookmarkStart w:id="166" w:name="_Toc225885404"/>
      <w:bookmarkEnd w:id="166"/>
      <w:bookmarkStart w:id="167" w:name="_Toc225885410"/>
      <w:bookmarkEnd w:id="167"/>
      <w:bookmarkStart w:id="168" w:name="_Toc225884793"/>
      <w:bookmarkEnd w:id="168"/>
      <w:bookmarkStart w:id="169" w:name="_Toc225884582"/>
      <w:bookmarkEnd w:id="169"/>
      <w:bookmarkStart w:id="170" w:name="_Toc225885616"/>
      <w:bookmarkEnd w:id="170"/>
      <w:bookmarkStart w:id="171" w:name="_Toc240124512"/>
      <w:bookmarkEnd w:id="171"/>
      <w:bookmarkStart w:id="172" w:name="_Toc240124506"/>
      <w:bookmarkEnd w:id="172"/>
      <w:bookmarkStart w:id="173" w:name="_Toc225885406"/>
      <w:bookmarkEnd w:id="173"/>
      <w:bookmarkStart w:id="174" w:name="_Toc225884792"/>
      <w:bookmarkEnd w:id="174"/>
      <w:bookmarkStart w:id="175" w:name="_Toc225884382"/>
      <w:bookmarkEnd w:id="175"/>
      <w:bookmarkStart w:id="176" w:name="_Toc225884588"/>
      <w:bookmarkEnd w:id="176"/>
      <w:bookmarkStart w:id="177" w:name="_Toc225884376"/>
      <w:bookmarkEnd w:id="177"/>
      <w:bookmarkStart w:id="178" w:name="_Toc225884794"/>
      <w:bookmarkEnd w:id="178"/>
      <w:bookmarkStart w:id="179" w:name="_Toc225885201"/>
      <w:bookmarkEnd w:id="179"/>
      <w:bookmarkStart w:id="180" w:name="_Toc225884998"/>
      <w:bookmarkEnd w:id="180"/>
      <w:bookmarkStart w:id="181" w:name="_Toc225884788"/>
      <w:bookmarkEnd w:id="181"/>
      <w:bookmarkStart w:id="182" w:name="_Toc225885407"/>
      <w:bookmarkEnd w:id="182"/>
      <w:bookmarkStart w:id="183" w:name="_Toc225884996"/>
      <w:bookmarkEnd w:id="183"/>
      <w:bookmarkStart w:id="184" w:name="_Toc225885199"/>
      <w:bookmarkEnd w:id="184"/>
      <w:bookmarkStart w:id="185" w:name="_Toc240124509"/>
      <w:bookmarkEnd w:id="185"/>
      <w:bookmarkStart w:id="186" w:name="_Toc225885614"/>
      <w:bookmarkEnd w:id="186"/>
      <w:bookmarkStart w:id="187" w:name="_Toc225884787"/>
      <w:bookmarkEnd w:id="187"/>
      <w:bookmarkStart w:id="188" w:name="_Toc225884789"/>
      <w:bookmarkEnd w:id="188"/>
      <w:bookmarkStart w:id="189" w:name="_Toc225884378"/>
      <w:bookmarkEnd w:id="189"/>
      <w:bookmarkStart w:id="190" w:name="_Toc225884992"/>
      <w:bookmarkEnd w:id="190"/>
      <w:bookmarkStart w:id="191" w:name="_Toc225885409"/>
      <w:bookmarkEnd w:id="191"/>
      <w:bookmarkStart w:id="192" w:name="_Toc225885200"/>
      <w:bookmarkEnd w:id="192"/>
      <w:bookmarkStart w:id="193" w:name="_Toc225885408"/>
      <w:bookmarkEnd w:id="193"/>
      <w:bookmarkStart w:id="194" w:name="_Toc225885610"/>
      <w:bookmarkEnd w:id="194"/>
      <w:bookmarkStart w:id="195" w:name="_Toc225884995"/>
      <w:bookmarkEnd w:id="195"/>
      <w:bookmarkStart w:id="196" w:name="_Toc225885203"/>
      <w:bookmarkEnd w:id="196"/>
      <w:bookmarkStart w:id="197" w:name="_Toc225884583"/>
      <w:bookmarkEnd w:id="197"/>
      <w:bookmarkStart w:id="198" w:name="_Toc240124505"/>
      <w:bookmarkEnd w:id="198"/>
      <w:bookmarkStart w:id="199" w:name="_Toc225884993"/>
      <w:bookmarkEnd w:id="199"/>
      <w:bookmarkStart w:id="200" w:name="_Toc225885609"/>
      <w:bookmarkEnd w:id="200"/>
      <w:bookmarkStart w:id="201" w:name="_Toc225885405"/>
      <w:bookmarkEnd w:id="201"/>
      <w:bookmarkStart w:id="202" w:name="_Toc225885197"/>
      <w:bookmarkEnd w:id="202"/>
      <w:bookmarkStart w:id="203" w:name="_Toc225884375"/>
      <w:bookmarkEnd w:id="203"/>
      <w:bookmarkStart w:id="204" w:name="_Toc225885612"/>
      <w:bookmarkEnd w:id="204"/>
      <w:bookmarkStart w:id="205" w:name="_Toc225884584"/>
      <w:bookmarkEnd w:id="205"/>
      <w:bookmarkStart w:id="206" w:name="_Toc225884994"/>
      <w:bookmarkEnd w:id="206"/>
      <w:bookmarkStart w:id="207" w:name="_Toc225884380"/>
      <w:bookmarkEnd w:id="207"/>
      <w:bookmarkStart w:id="208" w:name="_Toc240124508"/>
      <w:bookmarkEnd w:id="208"/>
      <w:bookmarkStart w:id="209" w:name="_Toc240124510"/>
      <w:bookmarkEnd w:id="209"/>
      <w:bookmarkStart w:id="210" w:name="_Toc225884586"/>
      <w:bookmarkEnd w:id="210"/>
      <w:bookmarkStart w:id="211" w:name="_Toc225885615"/>
      <w:bookmarkEnd w:id="211"/>
      <w:bookmarkStart w:id="212" w:name="_Toc225884379"/>
      <w:bookmarkEnd w:id="212"/>
      <w:bookmarkStart w:id="213" w:name="_Toc240124511"/>
      <w:bookmarkEnd w:id="213"/>
      <w:bookmarkStart w:id="214" w:name="_Toc225884345"/>
      <w:bookmarkEnd w:id="214"/>
      <w:bookmarkStart w:id="215" w:name="_Toc225884551"/>
      <w:bookmarkEnd w:id="215"/>
      <w:bookmarkStart w:id="216" w:name="_Toc225885168"/>
      <w:bookmarkEnd w:id="216"/>
      <w:bookmarkStart w:id="217" w:name="_Toc225885375"/>
      <w:bookmarkEnd w:id="217"/>
      <w:bookmarkStart w:id="218" w:name="_Toc225885580"/>
      <w:bookmarkEnd w:id="218"/>
      <w:bookmarkStart w:id="219" w:name="_Toc240124476"/>
      <w:bookmarkEnd w:id="219"/>
      <w:bookmarkStart w:id="220" w:name="_Toc225884346"/>
      <w:bookmarkEnd w:id="220"/>
      <w:bookmarkStart w:id="221" w:name="_Toc225884757"/>
      <w:bookmarkEnd w:id="221"/>
      <w:bookmarkStart w:id="222" w:name="_Toc225884961"/>
      <w:bookmarkEnd w:id="222"/>
      <w:bookmarkStart w:id="223" w:name="_Toc225884349"/>
      <w:bookmarkEnd w:id="223"/>
      <w:bookmarkStart w:id="224" w:name="_Toc225885382"/>
      <w:bookmarkEnd w:id="224"/>
      <w:bookmarkStart w:id="225" w:name="_Toc225884553"/>
      <w:bookmarkEnd w:id="225"/>
      <w:bookmarkStart w:id="226" w:name="_Toc240124477"/>
      <w:bookmarkEnd w:id="226"/>
      <w:bookmarkStart w:id="227" w:name="_Toc225884348"/>
      <w:bookmarkEnd w:id="227"/>
      <w:bookmarkStart w:id="228" w:name="_Toc225884762"/>
      <w:bookmarkEnd w:id="228"/>
      <w:bookmarkStart w:id="229" w:name="_Toc225884966"/>
      <w:bookmarkEnd w:id="229"/>
      <w:bookmarkStart w:id="230" w:name="_Toc225885585"/>
      <w:bookmarkEnd w:id="230"/>
      <w:bookmarkStart w:id="231" w:name="_Toc240124483"/>
      <w:bookmarkEnd w:id="231"/>
      <w:bookmarkStart w:id="232" w:name="_Toc225884552"/>
      <w:bookmarkEnd w:id="232"/>
      <w:bookmarkStart w:id="233" w:name="_Toc225884761"/>
      <w:bookmarkEnd w:id="233"/>
      <w:bookmarkStart w:id="234" w:name="_Toc225885173"/>
      <w:bookmarkEnd w:id="234"/>
      <w:bookmarkStart w:id="235" w:name="_Toc240124482"/>
      <w:bookmarkEnd w:id="235"/>
      <w:bookmarkStart w:id="236" w:name="_Toc225885171"/>
      <w:bookmarkEnd w:id="236"/>
      <w:bookmarkStart w:id="237" w:name="_Toc225885170"/>
      <w:bookmarkEnd w:id="237"/>
      <w:bookmarkStart w:id="238" w:name="_Toc240124479"/>
      <w:bookmarkEnd w:id="238"/>
      <w:bookmarkStart w:id="239" w:name="_Toc225885175"/>
      <w:bookmarkEnd w:id="239"/>
      <w:bookmarkStart w:id="240" w:name="_Toc225885174"/>
      <w:bookmarkEnd w:id="240"/>
      <w:bookmarkStart w:id="241" w:name="_Toc240124481"/>
      <w:bookmarkEnd w:id="241"/>
      <w:bookmarkStart w:id="242" w:name="_Toc225884353"/>
      <w:bookmarkEnd w:id="242"/>
      <w:bookmarkStart w:id="243" w:name="_Toc225884559"/>
      <w:bookmarkEnd w:id="243"/>
      <w:bookmarkStart w:id="244" w:name="_Toc225884765"/>
      <w:bookmarkEnd w:id="244"/>
      <w:bookmarkStart w:id="245" w:name="_Toc225884350"/>
      <w:bookmarkEnd w:id="245"/>
      <w:bookmarkStart w:id="246" w:name="_Toc225884969"/>
      <w:bookmarkEnd w:id="246"/>
      <w:bookmarkStart w:id="247" w:name="_Toc225885176"/>
      <w:bookmarkEnd w:id="247"/>
      <w:bookmarkStart w:id="248" w:name="_Toc225884557"/>
      <w:bookmarkEnd w:id="248"/>
      <w:bookmarkStart w:id="249" w:name="_Toc225885588"/>
      <w:bookmarkEnd w:id="249"/>
      <w:bookmarkStart w:id="250" w:name="_Toc240124484"/>
      <w:bookmarkEnd w:id="250"/>
      <w:bookmarkStart w:id="251" w:name="_Toc225884354"/>
      <w:bookmarkEnd w:id="251"/>
      <w:bookmarkStart w:id="252" w:name="_Toc225884760"/>
      <w:bookmarkEnd w:id="252"/>
      <w:bookmarkStart w:id="253" w:name="_Toc225885169"/>
      <w:bookmarkEnd w:id="253"/>
      <w:bookmarkStart w:id="254" w:name="_Toc225885587"/>
      <w:bookmarkEnd w:id="254"/>
      <w:bookmarkStart w:id="255" w:name="_Toc225885383"/>
      <w:bookmarkEnd w:id="255"/>
      <w:bookmarkStart w:id="256" w:name="_Toc225884556"/>
      <w:bookmarkEnd w:id="256"/>
      <w:bookmarkStart w:id="257" w:name="_Toc225885378"/>
      <w:bookmarkEnd w:id="257"/>
      <w:bookmarkStart w:id="258" w:name="_Toc225885172"/>
      <w:bookmarkEnd w:id="258"/>
      <w:bookmarkStart w:id="259" w:name="_Toc225884558"/>
      <w:bookmarkEnd w:id="259"/>
      <w:bookmarkStart w:id="260" w:name="_Toc225885376"/>
      <w:bookmarkEnd w:id="260"/>
      <w:bookmarkStart w:id="261" w:name="_Toc225884347"/>
      <w:bookmarkEnd w:id="261"/>
      <w:bookmarkStart w:id="262" w:name="_Toc225885582"/>
      <w:bookmarkEnd w:id="262"/>
      <w:bookmarkStart w:id="263" w:name="_Toc225884965"/>
      <w:bookmarkEnd w:id="263"/>
      <w:bookmarkStart w:id="264" w:name="_Toc225884758"/>
      <w:bookmarkEnd w:id="264"/>
      <w:bookmarkStart w:id="265" w:name="_Toc225884962"/>
      <w:bookmarkEnd w:id="265"/>
      <w:bookmarkStart w:id="266" w:name="_Toc225884964"/>
      <w:bookmarkEnd w:id="266"/>
      <w:bookmarkStart w:id="267" w:name="_Toc225884555"/>
      <w:bookmarkEnd w:id="267"/>
      <w:bookmarkStart w:id="268" w:name="_Toc225884351"/>
      <w:bookmarkEnd w:id="268"/>
      <w:bookmarkStart w:id="269" w:name="_Toc225885586"/>
      <w:bookmarkEnd w:id="269"/>
      <w:bookmarkStart w:id="270" w:name="_Toc225885380"/>
      <w:bookmarkEnd w:id="270"/>
      <w:bookmarkStart w:id="271" w:name="_Toc225884763"/>
      <w:bookmarkEnd w:id="271"/>
      <w:bookmarkStart w:id="272" w:name="_Toc225884352"/>
      <w:bookmarkEnd w:id="272"/>
      <w:bookmarkStart w:id="273" w:name="_Toc240124480"/>
      <w:bookmarkEnd w:id="273"/>
      <w:bookmarkStart w:id="274" w:name="_Toc225884764"/>
      <w:bookmarkEnd w:id="274"/>
      <w:bookmarkStart w:id="275" w:name="_Toc225885581"/>
      <w:bookmarkEnd w:id="275"/>
      <w:bookmarkStart w:id="276" w:name="_Toc225884759"/>
      <w:bookmarkEnd w:id="276"/>
      <w:bookmarkStart w:id="277" w:name="_Toc225884963"/>
      <w:bookmarkEnd w:id="277"/>
      <w:bookmarkStart w:id="278" w:name="_Toc225885377"/>
      <w:bookmarkEnd w:id="278"/>
      <w:bookmarkStart w:id="279" w:name="_Toc240124478"/>
      <w:bookmarkEnd w:id="279"/>
      <w:bookmarkStart w:id="280" w:name="_Toc225884554"/>
      <w:bookmarkEnd w:id="280"/>
      <w:bookmarkStart w:id="281" w:name="_Toc225885379"/>
      <w:bookmarkEnd w:id="281"/>
      <w:bookmarkStart w:id="282" w:name="_Toc225885584"/>
      <w:bookmarkEnd w:id="282"/>
      <w:bookmarkStart w:id="283" w:name="_Toc225884967"/>
      <w:bookmarkEnd w:id="283"/>
      <w:bookmarkStart w:id="284" w:name="_Toc225885381"/>
      <w:bookmarkEnd w:id="284"/>
      <w:bookmarkStart w:id="285" w:name="_Toc225885583"/>
      <w:bookmarkEnd w:id="285"/>
      <w:bookmarkStart w:id="286" w:name="_Toc225884968"/>
      <w:bookmarkEnd w:id="286"/>
      <w:bookmarkStart w:id="287" w:name="_Toc225885590"/>
      <w:bookmarkEnd w:id="287"/>
      <w:bookmarkStart w:id="288" w:name="_Toc225884971"/>
      <w:bookmarkEnd w:id="288"/>
      <w:bookmarkStart w:id="289" w:name="_Toc225885384"/>
      <w:bookmarkEnd w:id="289"/>
      <w:bookmarkStart w:id="290" w:name="_Toc225884356"/>
      <w:bookmarkEnd w:id="290"/>
      <w:bookmarkStart w:id="291" w:name="_Toc225885385"/>
      <w:bookmarkEnd w:id="291"/>
      <w:bookmarkStart w:id="292" w:name="_Toc225885386"/>
      <w:bookmarkEnd w:id="292"/>
      <w:bookmarkStart w:id="293" w:name="_Toc225884766"/>
      <w:bookmarkEnd w:id="293"/>
      <w:bookmarkStart w:id="294" w:name="_Toc240124485"/>
      <w:bookmarkEnd w:id="294"/>
      <w:bookmarkStart w:id="295" w:name="_Toc225885591"/>
      <w:bookmarkEnd w:id="295"/>
      <w:bookmarkStart w:id="296" w:name="_Toc240124487"/>
      <w:bookmarkEnd w:id="296"/>
      <w:bookmarkStart w:id="297" w:name="_Toc225884974"/>
      <w:bookmarkEnd w:id="297"/>
      <w:bookmarkStart w:id="298" w:name="_Toc225884770"/>
      <w:bookmarkEnd w:id="298"/>
      <w:bookmarkStart w:id="299" w:name="_Toc225884564"/>
      <w:bookmarkEnd w:id="299"/>
      <w:bookmarkStart w:id="300" w:name="_Toc225884972"/>
      <w:bookmarkEnd w:id="300"/>
      <w:bookmarkStart w:id="301" w:name="_Toc225884562"/>
      <w:bookmarkEnd w:id="301"/>
      <w:bookmarkStart w:id="302" w:name="_Toc225885178"/>
      <w:bookmarkEnd w:id="302"/>
      <w:bookmarkStart w:id="303" w:name="_Toc225884768"/>
      <w:bookmarkEnd w:id="303"/>
      <w:bookmarkStart w:id="304" w:name="_Toc225884358"/>
      <w:bookmarkEnd w:id="304"/>
      <w:bookmarkStart w:id="305" w:name="_Toc225884560"/>
      <w:bookmarkEnd w:id="305"/>
      <w:bookmarkStart w:id="306" w:name="_Toc225885179"/>
      <w:bookmarkEnd w:id="306"/>
      <w:bookmarkStart w:id="307" w:name="_Toc225884561"/>
      <w:bookmarkEnd w:id="307"/>
      <w:bookmarkStart w:id="308" w:name="_Toc225884355"/>
      <w:bookmarkEnd w:id="308"/>
      <w:bookmarkStart w:id="309" w:name="_Toc225885589"/>
      <w:bookmarkEnd w:id="309"/>
      <w:bookmarkStart w:id="310" w:name="_Toc225884767"/>
      <w:bookmarkEnd w:id="310"/>
      <w:bookmarkStart w:id="311" w:name="_Toc240124486"/>
      <w:bookmarkEnd w:id="311"/>
      <w:bookmarkStart w:id="312" w:name="_Toc225884970"/>
      <w:bookmarkEnd w:id="312"/>
      <w:bookmarkStart w:id="313" w:name="_Toc225885177"/>
      <w:bookmarkEnd w:id="313"/>
      <w:bookmarkStart w:id="314" w:name="_Toc225885208"/>
      <w:bookmarkEnd w:id="314"/>
      <w:bookmarkStart w:id="315" w:name="_Toc225884796"/>
      <w:bookmarkEnd w:id="315"/>
      <w:bookmarkStart w:id="316" w:name="_Toc225884385"/>
      <w:bookmarkEnd w:id="316"/>
      <w:bookmarkStart w:id="317" w:name="_Toc225884795"/>
      <w:bookmarkEnd w:id="317"/>
      <w:bookmarkStart w:id="318" w:name="_Toc225884386"/>
      <w:bookmarkEnd w:id="318"/>
      <w:bookmarkStart w:id="319" w:name="_Toc225884387"/>
      <w:bookmarkEnd w:id="319"/>
      <w:bookmarkStart w:id="320" w:name="_Toc225884593"/>
      <w:bookmarkEnd w:id="320"/>
      <w:bookmarkStart w:id="321" w:name="_Toc225885002"/>
      <w:bookmarkEnd w:id="321"/>
      <w:bookmarkStart w:id="322" w:name="_Toc225884799"/>
      <w:bookmarkEnd w:id="322"/>
      <w:bookmarkStart w:id="323" w:name="_Toc225884594"/>
      <w:bookmarkEnd w:id="323"/>
      <w:bookmarkStart w:id="324" w:name="_Toc225885004"/>
      <w:bookmarkEnd w:id="324"/>
      <w:bookmarkStart w:id="325" w:name="_Toc225885418"/>
      <w:bookmarkEnd w:id="325"/>
      <w:bookmarkStart w:id="326" w:name="_Toc225884801"/>
      <w:bookmarkEnd w:id="326"/>
      <w:bookmarkStart w:id="327" w:name="_Toc225885005"/>
      <w:bookmarkEnd w:id="327"/>
      <w:bookmarkStart w:id="328" w:name="_Toc225884802"/>
      <w:bookmarkEnd w:id="328"/>
      <w:bookmarkStart w:id="329" w:name="_Toc240124513"/>
      <w:bookmarkEnd w:id="329"/>
      <w:bookmarkStart w:id="330" w:name="_Toc225885006"/>
      <w:bookmarkEnd w:id="330"/>
      <w:bookmarkStart w:id="331" w:name="_Toc240124515"/>
      <w:bookmarkEnd w:id="331"/>
      <w:bookmarkStart w:id="332" w:name="_Toc225885206"/>
      <w:bookmarkEnd w:id="332"/>
      <w:bookmarkStart w:id="333" w:name="_Toc225885209"/>
      <w:bookmarkEnd w:id="333"/>
      <w:bookmarkStart w:id="334" w:name="_Toc225884383"/>
      <w:bookmarkEnd w:id="334"/>
      <w:bookmarkStart w:id="335" w:name="_Toc225885622"/>
      <w:bookmarkEnd w:id="335"/>
      <w:bookmarkStart w:id="336" w:name="_Toc225884388"/>
      <w:bookmarkEnd w:id="336"/>
      <w:bookmarkStart w:id="337" w:name="_Toc225885212"/>
      <w:bookmarkEnd w:id="337"/>
      <w:bookmarkStart w:id="338" w:name="_Toc225884596"/>
      <w:bookmarkEnd w:id="338"/>
      <w:bookmarkStart w:id="339" w:name="_Toc225885412"/>
      <w:bookmarkEnd w:id="339"/>
      <w:bookmarkStart w:id="340" w:name="_Toc225885001"/>
      <w:bookmarkEnd w:id="340"/>
      <w:bookmarkStart w:id="341" w:name="_Toc225884591"/>
      <w:bookmarkEnd w:id="341"/>
      <w:bookmarkStart w:id="342" w:name="_Toc225885413"/>
      <w:bookmarkEnd w:id="342"/>
      <w:bookmarkStart w:id="343" w:name="_Toc225885003"/>
      <w:bookmarkEnd w:id="343"/>
      <w:bookmarkStart w:id="344" w:name="_Toc225884999"/>
      <w:bookmarkEnd w:id="344"/>
      <w:bookmarkStart w:id="345" w:name="_Toc240124516"/>
      <w:bookmarkEnd w:id="345"/>
      <w:bookmarkStart w:id="346" w:name="_Toc240124517"/>
      <w:bookmarkEnd w:id="346"/>
      <w:bookmarkStart w:id="347" w:name="_Toc240124518"/>
      <w:bookmarkEnd w:id="347"/>
      <w:bookmarkStart w:id="348" w:name="_Toc225884592"/>
      <w:bookmarkEnd w:id="348"/>
      <w:bookmarkStart w:id="349" w:name="_Toc225884389"/>
      <w:bookmarkEnd w:id="349"/>
      <w:bookmarkStart w:id="350" w:name="_Toc240124519"/>
      <w:bookmarkEnd w:id="350"/>
      <w:bookmarkStart w:id="351" w:name="_Toc240124514"/>
      <w:bookmarkEnd w:id="351"/>
      <w:bookmarkStart w:id="352" w:name="_Toc225885207"/>
      <w:bookmarkEnd w:id="352"/>
      <w:bookmarkStart w:id="353" w:name="_Toc225884595"/>
      <w:bookmarkEnd w:id="353"/>
      <w:bookmarkStart w:id="354" w:name="_Toc225884798"/>
      <w:bookmarkEnd w:id="354"/>
      <w:bookmarkStart w:id="355" w:name="_Toc225885419"/>
      <w:bookmarkEnd w:id="355"/>
      <w:bookmarkStart w:id="356" w:name="_Toc240124520"/>
      <w:bookmarkEnd w:id="356"/>
      <w:bookmarkStart w:id="357" w:name="_Toc225885620"/>
      <w:bookmarkEnd w:id="357"/>
      <w:bookmarkStart w:id="358" w:name="_Toc225884800"/>
      <w:bookmarkEnd w:id="358"/>
      <w:bookmarkStart w:id="359" w:name="_Toc225885618"/>
      <w:bookmarkEnd w:id="359"/>
      <w:bookmarkStart w:id="360" w:name="_Toc225885211"/>
      <w:bookmarkEnd w:id="360"/>
      <w:bookmarkStart w:id="361" w:name="_Toc225885624"/>
      <w:bookmarkEnd w:id="361"/>
      <w:bookmarkStart w:id="362" w:name="_Toc225885000"/>
      <w:bookmarkEnd w:id="362"/>
      <w:bookmarkStart w:id="363" w:name="_Toc225885416"/>
      <w:bookmarkEnd w:id="363"/>
      <w:bookmarkStart w:id="364" w:name="_Toc225885205"/>
      <w:bookmarkEnd w:id="364"/>
      <w:bookmarkStart w:id="365" w:name="_Toc225884384"/>
      <w:bookmarkEnd w:id="365"/>
      <w:bookmarkStart w:id="366" w:name="_Toc225885619"/>
      <w:bookmarkEnd w:id="366"/>
      <w:bookmarkStart w:id="367" w:name="_Toc225885623"/>
      <w:bookmarkEnd w:id="367"/>
      <w:bookmarkStart w:id="368" w:name="_Toc225884390"/>
      <w:bookmarkEnd w:id="368"/>
      <w:bookmarkStart w:id="369" w:name="_Toc225884797"/>
      <w:bookmarkEnd w:id="369"/>
      <w:bookmarkStart w:id="370" w:name="_Toc225885415"/>
      <w:bookmarkEnd w:id="370"/>
      <w:bookmarkStart w:id="371" w:name="_Toc225885617"/>
      <w:bookmarkEnd w:id="371"/>
      <w:bookmarkStart w:id="372" w:name="_Toc225884590"/>
      <w:bookmarkEnd w:id="372"/>
      <w:bookmarkStart w:id="373" w:name="_Toc225885414"/>
      <w:bookmarkEnd w:id="373"/>
      <w:bookmarkStart w:id="374" w:name="_Toc225884589"/>
      <w:bookmarkEnd w:id="374"/>
      <w:bookmarkStart w:id="375" w:name="_Toc225885621"/>
      <w:bookmarkEnd w:id="375"/>
      <w:bookmarkStart w:id="376" w:name="_Toc225885210"/>
      <w:bookmarkEnd w:id="376"/>
      <w:bookmarkStart w:id="377" w:name="_Toc225885417"/>
      <w:bookmarkEnd w:id="377"/>
      <w:bookmarkStart w:id="378" w:name="_Toc225884809"/>
      <w:bookmarkEnd w:id="378"/>
      <w:bookmarkStart w:id="379" w:name="_Toc225885013"/>
      <w:bookmarkEnd w:id="379"/>
      <w:bookmarkStart w:id="380" w:name="_Toc225885220"/>
      <w:bookmarkEnd w:id="380"/>
      <w:bookmarkStart w:id="381" w:name="_Toc225884395"/>
      <w:bookmarkEnd w:id="381"/>
      <w:bookmarkStart w:id="382" w:name="_Toc225885219"/>
      <w:bookmarkEnd w:id="382"/>
      <w:bookmarkStart w:id="383" w:name="_Toc225885214"/>
      <w:bookmarkEnd w:id="383"/>
      <w:bookmarkStart w:id="384" w:name="_Toc225885427"/>
      <w:bookmarkEnd w:id="384"/>
      <w:bookmarkStart w:id="385" w:name="_Toc225885218"/>
      <w:bookmarkEnd w:id="385"/>
      <w:bookmarkStart w:id="386" w:name="_Toc225885632"/>
      <w:bookmarkEnd w:id="386"/>
      <w:bookmarkStart w:id="387" w:name="_Toc225884600"/>
      <w:bookmarkEnd w:id="387"/>
      <w:bookmarkStart w:id="388" w:name="_Toc225884806"/>
      <w:bookmarkEnd w:id="388"/>
      <w:bookmarkStart w:id="389" w:name="_Toc240124528"/>
      <w:bookmarkEnd w:id="389"/>
      <w:bookmarkStart w:id="390" w:name="_Toc225885010"/>
      <w:bookmarkEnd w:id="390"/>
      <w:bookmarkStart w:id="391" w:name="_Toc225884597"/>
      <w:bookmarkEnd w:id="391"/>
      <w:bookmarkStart w:id="392" w:name="_Toc225884391"/>
      <w:bookmarkEnd w:id="392"/>
      <w:bookmarkStart w:id="393" w:name="_Toc225884807"/>
      <w:bookmarkEnd w:id="393"/>
      <w:bookmarkStart w:id="394" w:name="_Toc240124524"/>
      <w:bookmarkEnd w:id="394"/>
      <w:bookmarkStart w:id="395" w:name="_Toc225884602"/>
      <w:bookmarkEnd w:id="395"/>
      <w:bookmarkStart w:id="396" w:name="_Toc240124521"/>
      <w:bookmarkEnd w:id="396"/>
      <w:bookmarkStart w:id="397" w:name="_Toc225885420"/>
      <w:bookmarkEnd w:id="397"/>
      <w:bookmarkStart w:id="398" w:name="_Toc225885421"/>
      <w:bookmarkEnd w:id="398"/>
      <w:bookmarkStart w:id="399" w:name="_Toc225884804"/>
      <w:bookmarkEnd w:id="399"/>
      <w:bookmarkStart w:id="400" w:name="_Toc225884808"/>
      <w:bookmarkEnd w:id="400"/>
      <w:bookmarkStart w:id="401" w:name="_Toc225885631"/>
      <w:bookmarkEnd w:id="401"/>
      <w:bookmarkStart w:id="402" w:name="_Toc225885011"/>
      <w:bookmarkEnd w:id="402"/>
      <w:bookmarkStart w:id="403" w:name="_Toc240124526"/>
      <w:bookmarkEnd w:id="403"/>
      <w:bookmarkStart w:id="404" w:name="_Toc225884393"/>
      <w:bookmarkEnd w:id="404"/>
      <w:bookmarkStart w:id="405" w:name="_Toc225884599"/>
      <w:bookmarkEnd w:id="405"/>
      <w:bookmarkStart w:id="406" w:name="_Toc240124527"/>
      <w:bookmarkEnd w:id="406"/>
      <w:bookmarkStart w:id="407" w:name="_Toc225884398"/>
      <w:bookmarkEnd w:id="407"/>
      <w:bookmarkStart w:id="408" w:name="_Toc225885426"/>
      <w:bookmarkEnd w:id="408"/>
      <w:bookmarkStart w:id="409" w:name="_Toc225884604"/>
      <w:bookmarkEnd w:id="409"/>
      <w:bookmarkStart w:id="410" w:name="_Toc225884810"/>
      <w:bookmarkEnd w:id="410"/>
      <w:bookmarkStart w:id="411" w:name="_Toc225885014"/>
      <w:bookmarkEnd w:id="411"/>
      <w:bookmarkStart w:id="412" w:name="_Toc225885629"/>
      <w:bookmarkEnd w:id="412"/>
      <w:bookmarkStart w:id="413" w:name="_Toc225885625"/>
      <w:bookmarkEnd w:id="413"/>
      <w:bookmarkStart w:id="414" w:name="_Toc225885007"/>
      <w:bookmarkEnd w:id="414"/>
      <w:bookmarkStart w:id="415" w:name="_Toc225884392"/>
      <w:bookmarkEnd w:id="415"/>
      <w:bookmarkStart w:id="416" w:name="_Toc225884598"/>
      <w:bookmarkEnd w:id="416"/>
      <w:bookmarkStart w:id="417" w:name="_Toc225885215"/>
      <w:bookmarkEnd w:id="417"/>
      <w:bookmarkStart w:id="418" w:name="_Toc225884803"/>
      <w:bookmarkEnd w:id="418"/>
      <w:bookmarkStart w:id="419" w:name="_Toc240124522"/>
      <w:bookmarkEnd w:id="419"/>
      <w:bookmarkStart w:id="420" w:name="_Toc225885009"/>
      <w:bookmarkEnd w:id="420"/>
      <w:bookmarkStart w:id="421" w:name="_Toc225885423"/>
      <w:bookmarkEnd w:id="421"/>
      <w:bookmarkStart w:id="422" w:name="_Toc225885628"/>
      <w:bookmarkEnd w:id="422"/>
      <w:bookmarkStart w:id="423" w:name="_Toc225885217"/>
      <w:bookmarkEnd w:id="423"/>
      <w:bookmarkStart w:id="424" w:name="_Toc225884394"/>
      <w:bookmarkEnd w:id="424"/>
      <w:bookmarkStart w:id="425" w:name="_Toc225884805"/>
      <w:bookmarkEnd w:id="425"/>
      <w:bookmarkStart w:id="426" w:name="_Toc225885422"/>
      <w:bookmarkEnd w:id="426"/>
      <w:bookmarkStart w:id="427" w:name="_Toc240124523"/>
      <w:bookmarkEnd w:id="427"/>
      <w:bookmarkStart w:id="428" w:name="_Toc225885008"/>
      <w:bookmarkEnd w:id="428"/>
      <w:bookmarkStart w:id="429" w:name="_Toc225885425"/>
      <w:bookmarkEnd w:id="429"/>
      <w:bookmarkStart w:id="430" w:name="_Toc225885216"/>
      <w:bookmarkEnd w:id="430"/>
      <w:bookmarkStart w:id="431" w:name="_Toc225885630"/>
      <w:bookmarkEnd w:id="431"/>
      <w:bookmarkStart w:id="432" w:name="_Toc225885627"/>
      <w:bookmarkEnd w:id="432"/>
      <w:bookmarkStart w:id="433" w:name="_Toc225884397"/>
      <w:bookmarkEnd w:id="433"/>
      <w:bookmarkStart w:id="434" w:name="_Toc225885213"/>
      <w:bookmarkEnd w:id="434"/>
      <w:bookmarkStart w:id="435" w:name="_Toc225884396"/>
      <w:bookmarkEnd w:id="435"/>
      <w:bookmarkStart w:id="436" w:name="_Toc225885424"/>
      <w:bookmarkEnd w:id="436"/>
      <w:bookmarkStart w:id="437" w:name="_Toc225885626"/>
      <w:bookmarkEnd w:id="437"/>
      <w:bookmarkStart w:id="438" w:name="_Toc225885012"/>
      <w:bookmarkEnd w:id="438"/>
      <w:bookmarkStart w:id="439" w:name="_Toc240124525"/>
      <w:bookmarkEnd w:id="439"/>
      <w:bookmarkStart w:id="440" w:name="_Toc225884601"/>
      <w:bookmarkEnd w:id="440"/>
      <w:bookmarkStart w:id="441" w:name="_Toc225884603"/>
      <w:bookmarkEnd w:id="441"/>
      <w:bookmarkStart w:id="442" w:name="_Toc225885633"/>
      <w:bookmarkEnd w:id="442"/>
      <w:bookmarkStart w:id="443" w:name="_Toc225885223"/>
      <w:bookmarkEnd w:id="443"/>
      <w:bookmarkStart w:id="444" w:name="_Toc225884811"/>
      <w:bookmarkEnd w:id="444"/>
      <w:bookmarkStart w:id="445" w:name="_Toc225884812"/>
      <w:bookmarkEnd w:id="445"/>
      <w:bookmarkStart w:id="446" w:name="_Toc225885016"/>
      <w:bookmarkEnd w:id="446"/>
      <w:bookmarkStart w:id="447" w:name="_Toc225885017"/>
      <w:bookmarkEnd w:id="447"/>
      <w:bookmarkStart w:id="448" w:name="_Toc225884609"/>
      <w:bookmarkEnd w:id="448"/>
      <w:bookmarkStart w:id="449" w:name="_Toc225885429"/>
      <w:bookmarkEnd w:id="449"/>
      <w:bookmarkStart w:id="450" w:name="_Toc225885020"/>
      <w:bookmarkEnd w:id="450"/>
      <w:bookmarkStart w:id="451" w:name="_Toc225885433"/>
      <w:bookmarkEnd w:id="451"/>
      <w:bookmarkStart w:id="452" w:name="_Toc225885434"/>
      <w:bookmarkEnd w:id="452"/>
      <w:bookmarkStart w:id="453" w:name="_Toc225884817"/>
      <w:bookmarkEnd w:id="453"/>
      <w:bookmarkStart w:id="454" w:name="_Toc225885021"/>
      <w:bookmarkEnd w:id="454"/>
      <w:bookmarkStart w:id="455" w:name="_Toc225885018"/>
      <w:bookmarkEnd w:id="455"/>
      <w:bookmarkStart w:id="456" w:name="_Toc225884405"/>
      <w:bookmarkEnd w:id="456"/>
      <w:bookmarkStart w:id="457" w:name="_Toc225884611"/>
      <w:bookmarkEnd w:id="457"/>
      <w:bookmarkStart w:id="458" w:name="_Toc225885228"/>
      <w:bookmarkEnd w:id="458"/>
      <w:bookmarkStart w:id="459" w:name="_Toc225885634"/>
      <w:bookmarkEnd w:id="459"/>
      <w:bookmarkStart w:id="460" w:name="_Toc225885640"/>
      <w:bookmarkEnd w:id="460"/>
      <w:bookmarkStart w:id="461" w:name="_Toc240124536"/>
      <w:bookmarkEnd w:id="461"/>
      <w:bookmarkStart w:id="462" w:name="_Toc225884401"/>
      <w:bookmarkEnd w:id="462"/>
      <w:bookmarkStart w:id="463" w:name="_Toc225884813"/>
      <w:bookmarkEnd w:id="463"/>
      <w:bookmarkStart w:id="464" w:name="_Toc225885435"/>
      <w:bookmarkEnd w:id="464"/>
      <w:bookmarkStart w:id="465" w:name="_Toc225884406"/>
      <w:bookmarkEnd w:id="465"/>
      <w:bookmarkStart w:id="466" w:name="_Toc225884612"/>
      <w:bookmarkEnd w:id="466"/>
      <w:bookmarkStart w:id="467" w:name="_Toc225884818"/>
      <w:bookmarkEnd w:id="467"/>
      <w:bookmarkStart w:id="468" w:name="_Toc225885428"/>
      <w:bookmarkEnd w:id="468"/>
      <w:bookmarkStart w:id="469" w:name="_Toc225884608"/>
      <w:bookmarkEnd w:id="469"/>
      <w:bookmarkStart w:id="470" w:name="_Toc225885022"/>
      <w:bookmarkEnd w:id="470"/>
      <w:bookmarkStart w:id="471" w:name="_Toc225885430"/>
      <w:bookmarkEnd w:id="471"/>
      <w:bookmarkStart w:id="472" w:name="_Toc225884605"/>
      <w:bookmarkEnd w:id="472"/>
      <w:bookmarkStart w:id="473" w:name="_Toc225884606"/>
      <w:bookmarkEnd w:id="473"/>
      <w:bookmarkStart w:id="474" w:name="_Toc225884607"/>
      <w:bookmarkEnd w:id="474"/>
      <w:bookmarkStart w:id="475" w:name="_Toc225884402"/>
      <w:bookmarkEnd w:id="475"/>
      <w:bookmarkStart w:id="476" w:name="_Toc225885015"/>
      <w:bookmarkEnd w:id="476"/>
      <w:bookmarkStart w:id="477" w:name="_Toc225884814"/>
      <w:bookmarkEnd w:id="477"/>
      <w:bookmarkStart w:id="478" w:name="_Toc225885225"/>
      <w:bookmarkEnd w:id="478"/>
      <w:bookmarkStart w:id="479" w:name="_Toc240124533"/>
      <w:bookmarkEnd w:id="479"/>
      <w:bookmarkStart w:id="480" w:name="_Toc225884815"/>
      <w:bookmarkEnd w:id="480"/>
      <w:bookmarkStart w:id="481" w:name="_Toc225885019"/>
      <w:bookmarkEnd w:id="481"/>
      <w:bookmarkStart w:id="482" w:name="_Toc225885222"/>
      <w:bookmarkEnd w:id="482"/>
      <w:bookmarkStart w:id="483" w:name="_Toc225884403"/>
      <w:bookmarkEnd w:id="483"/>
      <w:bookmarkStart w:id="484" w:name="_Toc240124532"/>
      <w:bookmarkEnd w:id="484"/>
      <w:bookmarkStart w:id="485" w:name="_Toc225884399"/>
      <w:bookmarkEnd w:id="485"/>
      <w:bookmarkStart w:id="486" w:name="_Toc225885224"/>
      <w:bookmarkEnd w:id="486"/>
      <w:bookmarkStart w:id="487" w:name="_Toc225885636"/>
      <w:bookmarkEnd w:id="487"/>
      <w:bookmarkStart w:id="488" w:name="_Toc225885638"/>
      <w:bookmarkEnd w:id="488"/>
      <w:bookmarkStart w:id="489" w:name="_Toc225885226"/>
      <w:bookmarkEnd w:id="489"/>
      <w:bookmarkStart w:id="490" w:name="_Toc240124530"/>
      <w:bookmarkEnd w:id="490"/>
      <w:bookmarkStart w:id="491" w:name="_Toc240124534"/>
      <w:bookmarkEnd w:id="491"/>
      <w:bookmarkStart w:id="492" w:name="_Toc225884404"/>
      <w:bookmarkEnd w:id="492"/>
      <w:bookmarkStart w:id="493" w:name="_Toc225884610"/>
      <w:bookmarkEnd w:id="493"/>
      <w:bookmarkStart w:id="494" w:name="_Toc225884816"/>
      <w:bookmarkEnd w:id="494"/>
      <w:bookmarkStart w:id="495" w:name="_Toc225885227"/>
      <w:bookmarkEnd w:id="495"/>
      <w:bookmarkStart w:id="496" w:name="_Toc225885639"/>
      <w:bookmarkEnd w:id="496"/>
      <w:bookmarkStart w:id="497" w:name="_Toc225885221"/>
      <w:bookmarkEnd w:id="497"/>
      <w:bookmarkStart w:id="498" w:name="_Toc240124529"/>
      <w:bookmarkEnd w:id="498"/>
      <w:bookmarkStart w:id="499" w:name="_Toc225885635"/>
      <w:bookmarkEnd w:id="499"/>
      <w:bookmarkStart w:id="500" w:name="_Toc240124531"/>
      <w:bookmarkEnd w:id="500"/>
      <w:bookmarkStart w:id="501" w:name="_Toc225885432"/>
      <w:bookmarkEnd w:id="501"/>
      <w:bookmarkStart w:id="502" w:name="_Toc225884400"/>
      <w:bookmarkEnd w:id="502"/>
      <w:bookmarkStart w:id="503" w:name="_Toc225885431"/>
      <w:bookmarkEnd w:id="503"/>
      <w:bookmarkStart w:id="504" w:name="_Toc225885637"/>
      <w:bookmarkEnd w:id="504"/>
      <w:bookmarkStart w:id="505" w:name="_Toc240124535"/>
      <w:bookmarkEnd w:id="505"/>
      <w:bookmarkStart w:id="506" w:name="_Toc225884413"/>
      <w:bookmarkEnd w:id="506"/>
      <w:bookmarkStart w:id="507" w:name="_Toc225885234"/>
      <w:bookmarkEnd w:id="507"/>
      <w:bookmarkStart w:id="508" w:name="_Toc225884824"/>
      <w:bookmarkEnd w:id="508"/>
      <w:bookmarkStart w:id="509" w:name="_Toc225884409"/>
      <w:bookmarkEnd w:id="509"/>
      <w:bookmarkStart w:id="510" w:name="_Toc225885233"/>
      <w:bookmarkEnd w:id="510"/>
      <w:bookmarkStart w:id="511" w:name="_Toc225884619"/>
      <w:bookmarkEnd w:id="511"/>
      <w:bookmarkStart w:id="512" w:name="_Toc225885235"/>
      <w:bookmarkEnd w:id="512"/>
      <w:bookmarkStart w:id="513" w:name="_Toc225885232"/>
      <w:bookmarkEnd w:id="513"/>
      <w:bookmarkStart w:id="514" w:name="_Toc225885029"/>
      <w:bookmarkEnd w:id="514"/>
      <w:bookmarkStart w:id="515" w:name="_Toc225884614"/>
      <w:bookmarkEnd w:id="515"/>
      <w:bookmarkStart w:id="516" w:name="_Toc225884820"/>
      <w:bookmarkEnd w:id="516"/>
      <w:bookmarkStart w:id="517" w:name="_Toc225885236"/>
      <w:bookmarkEnd w:id="517"/>
      <w:bookmarkStart w:id="518" w:name="_Toc225885024"/>
      <w:bookmarkEnd w:id="518"/>
      <w:bookmarkStart w:id="519" w:name="_Toc225884821"/>
      <w:bookmarkEnd w:id="519"/>
      <w:bookmarkStart w:id="520" w:name="_Toc225885443"/>
      <w:bookmarkEnd w:id="520"/>
      <w:bookmarkStart w:id="521" w:name="_Toc225884616"/>
      <w:bookmarkEnd w:id="521"/>
      <w:bookmarkStart w:id="522" w:name="_Toc240124538"/>
      <w:bookmarkEnd w:id="522"/>
      <w:bookmarkStart w:id="523" w:name="_Toc225884618"/>
      <w:bookmarkEnd w:id="523"/>
      <w:bookmarkStart w:id="524" w:name="_Toc225885645"/>
      <w:bookmarkEnd w:id="524"/>
      <w:bookmarkStart w:id="525" w:name="_Toc225885442"/>
      <w:bookmarkEnd w:id="525"/>
      <w:bookmarkStart w:id="526" w:name="_Toc225884822"/>
      <w:bookmarkEnd w:id="526"/>
      <w:bookmarkStart w:id="527" w:name="_Toc225884825"/>
      <w:bookmarkEnd w:id="527"/>
      <w:bookmarkStart w:id="528" w:name="_Toc225885648"/>
      <w:bookmarkEnd w:id="528"/>
      <w:bookmarkStart w:id="529" w:name="_Toc225884620"/>
      <w:bookmarkEnd w:id="529"/>
      <w:bookmarkStart w:id="530" w:name="_Toc225885025"/>
      <w:bookmarkEnd w:id="530"/>
      <w:bookmarkStart w:id="531" w:name="_Toc240124540"/>
      <w:bookmarkEnd w:id="531"/>
      <w:bookmarkStart w:id="532" w:name="_Toc225884407"/>
      <w:bookmarkEnd w:id="532"/>
      <w:bookmarkStart w:id="533" w:name="_Toc225884613"/>
      <w:bookmarkEnd w:id="533"/>
      <w:bookmarkStart w:id="534" w:name="_Toc240124541"/>
      <w:bookmarkEnd w:id="534"/>
      <w:bookmarkStart w:id="535" w:name="_Toc225885028"/>
      <w:bookmarkEnd w:id="535"/>
      <w:bookmarkStart w:id="536" w:name="_Toc225885440"/>
      <w:bookmarkEnd w:id="536"/>
      <w:bookmarkStart w:id="537" w:name="_Toc240124543"/>
      <w:bookmarkEnd w:id="537"/>
      <w:bookmarkStart w:id="538" w:name="_Toc225884826"/>
      <w:bookmarkEnd w:id="538"/>
      <w:bookmarkStart w:id="539" w:name="_Toc225885030"/>
      <w:bookmarkEnd w:id="539"/>
      <w:bookmarkStart w:id="540" w:name="_Toc225885643"/>
      <w:bookmarkEnd w:id="540"/>
      <w:bookmarkStart w:id="541" w:name="_Toc240124544"/>
      <w:bookmarkEnd w:id="541"/>
      <w:bookmarkStart w:id="542" w:name="_Toc225884414"/>
      <w:bookmarkEnd w:id="542"/>
      <w:bookmarkStart w:id="543" w:name="_Toc225884617"/>
      <w:bookmarkEnd w:id="543"/>
      <w:bookmarkStart w:id="544" w:name="_Toc225885023"/>
      <w:bookmarkEnd w:id="544"/>
      <w:bookmarkStart w:id="545" w:name="_Toc225885229"/>
      <w:bookmarkEnd w:id="545"/>
      <w:bookmarkStart w:id="546" w:name="_Toc225885642"/>
      <w:bookmarkEnd w:id="546"/>
      <w:bookmarkStart w:id="547" w:name="_Toc225885231"/>
      <w:bookmarkEnd w:id="547"/>
      <w:bookmarkStart w:id="548" w:name="_Toc225885646"/>
      <w:bookmarkEnd w:id="548"/>
      <w:bookmarkStart w:id="549" w:name="_Toc225885437"/>
      <w:bookmarkEnd w:id="549"/>
      <w:bookmarkStart w:id="550" w:name="_Toc225885647"/>
      <w:bookmarkEnd w:id="550"/>
      <w:bookmarkStart w:id="551" w:name="_Toc225885439"/>
      <w:bookmarkEnd w:id="551"/>
      <w:bookmarkStart w:id="552" w:name="_Toc225884408"/>
      <w:bookmarkEnd w:id="552"/>
      <w:bookmarkStart w:id="553" w:name="_Toc225884819"/>
      <w:bookmarkEnd w:id="553"/>
      <w:bookmarkStart w:id="554" w:name="_Toc225885436"/>
      <w:bookmarkEnd w:id="554"/>
      <w:bookmarkStart w:id="555" w:name="_Toc240124537"/>
      <w:bookmarkEnd w:id="555"/>
      <w:bookmarkStart w:id="556" w:name="_Toc225885644"/>
      <w:bookmarkEnd w:id="556"/>
      <w:bookmarkStart w:id="557" w:name="_Toc225884411"/>
      <w:bookmarkEnd w:id="557"/>
      <w:bookmarkStart w:id="558" w:name="_Toc225885230"/>
      <w:bookmarkEnd w:id="558"/>
      <w:bookmarkStart w:id="559" w:name="_Toc225884823"/>
      <w:bookmarkEnd w:id="559"/>
      <w:bookmarkStart w:id="560" w:name="_Toc225885641"/>
      <w:bookmarkEnd w:id="560"/>
      <w:bookmarkStart w:id="561" w:name="_Toc225885441"/>
      <w:bookmarkEnd w:id="561"/>
      <w:bookmarkStart w:id="562" w:name="_Toc225884412"/>
      <w:bookmarkEnd w:id="562"/>
      <w:bookmarkStart w:id="563" w:name="_Toc225884410"/>
      <w:bookmarkEnd w:id="563"/>
      <w:bookmarkStart w:id="564" w:name="_Toc225885438"/>
      <w:bookmarkEnd w:id="564"/>
      <w:bookmarkStart w:id="565" w:name="_Toc225885027"/>
      <w:bookmarkEnd w:id="565"/>
      <w:bookmarkStart w:id="566" w:name="_Toc225885026"/>
      <w:bookmarkEnd w:id="566"/>
      <w:bookmarkStart w:id="567" w:name="_Toc240124539"/>
      <w:bookmarkEnd w:id="567"/>
      <w:bookmarkStart w:id="568" w:name="_Toc225884615"/>
      <w:bookmarkEnd w:id="568"/>
      <w:bookmarkStart w:id="569" w:name="_Toc240124542"/>
      <w:bookmarkEnd w:id="569"/>
      <w:bookmarkStart w:id="570" w:name="_Toc225885240"/>
      <w:bookmarkEnd w:id="570"/>
      <w:bookmarkStart w:id="571" w:name="_Toc225885242"/>
      <w:bookmarkEnd w:id="571"/>
      <w:bookmarkStart w:id="572" w:name="_Toc225885444"/>
      <w:bookmarkEnd w:id="572"/>
      <w:bookmarkStart w:id="573" w:name="_Toc225884829"/>
      <w:bookmarkEnd w:id="573"/>
      <w:bookmarkStart w:id="574" w:name="_Toc225885445"/>
      <w:bookmarkEnd w:id="574"/>
      <w:bookmarkStart w:id="575" w:name="_Toc225885449"/>
      <w:bookmarkEnd w:id="575"/>
      <w:bookmarkStart w:id="576" w:name="_Toc240124547"/>
      <w:bookmarkEnd w:id="576"/>
      <w:bookmarkStart w:id="577" w:name="_Toc225884832"/>
      <w:bookmarkEnd w:id="577"/>
      <w:bookmarkStart w:id="578" w:name="_Toc225884827"/>
      <w:bookmarkEnd w:id="578"/>
      <w:bookmarkStart w:id="579" w:name="_Toc225885037"/>
      <w:bookmarkEnd w:id="579"/>
      <w:bookmarkStart w:id="580" w:name="_Toc225885034"/>
      <w:bookmarkEnd w:id="580"/>
      <w:bookmarkStart w:id="581" w:name="_Toc225885244"/>
      <w:bookmarkEnd w:id="581"/>
      <w:bookmarkStart w:id="582" w:name="_Toc225885451"/>
      <w:bookmarkEnd w:id="582"/>
      <w:bookmarkStart w:id="583" w:name="_Toc225884833"/>
      <w:bookmarkEnd w:id="583"/>
      <w:bookmarkStart w:id="584" w:name="_Toc225885656"/>
      <w:bookmarkEnd w:id="584"/>
      <w:bookmarkStart w:id="585" w:name="_Toc225884416"/>
      <w:bookmarkEnd w:id="585"/>
      <w:bookmarkStart w:id="586" w:name="_Toc225885649"/>
      <w:bookmarkEnd w:id="586"/>
      <w:bookmarkStart w:id="587" w:name="_Toc225885448"/>
      <w:bookmarkEnd w:id="587"/>
      <w:bookmarkStart w:id="588" w:name="_Toc225884420"/>
      <w:bookmarkEnd w:id="588"/>
      <w:bookmarkStart w:id="589" w:name="_Toc240124552"/>
      <w:bookmarkEnd w:id="589"/>
      <w:bookmarkStart w:id="590" w:name="_Toc225884422"/>
      <w:bookmarkEnd w:id="590"/>
      <w:bookmarkStart w:id="591" w:name="_Toc225884628"/>
      <w:bookmarkEnd w:id="591"/>
      <w:bookmarkStart w:id="592" w:name="_Toc225885653"/>
      <w:bookmarkEnd w:id="592"/>
      <w:bookmarkStart w:id="593" w:name="_Toc225885654"/>
      <w:bookmarkEnd w:id="593"/>
      <w:bookmarkStart w:id="594" w:name="_Toc225884834"/>
      <w:bookmarkEnd w:id="594"/>
      <w:bookmarkStart w:id="595" w:name="_Toc225884624"/>
      <w:bookmarkEnd w:id="595"/>
      <w:bookmarkStart w:id="596" w:name="_Toc225884625"/>
      <w:bookmarkEnd w:id="596"/>
      <w:bookmarkStart w:id="597" w:name="_Toc225884421"/>
      <w:bookmarkEnd w:id="597"/>
      <w:bookmarkStart w:id="598" w:name="_Toc225885038"/>
      <w:bookmarkEnd w:id="598"/>
      <w:bookmarkStart w:id="599" w:name="_Toc225885241"/>
      <w:bookmarkEnd w:id="599"/>
      <w:bookmarkStart w:id="600" w:name="_Toc225885239"/>
      <w:bookmarkEnd w:id="600"/>
      <w:bookmarkStart w:id="601" w:name="_Toc225885237"/>
      <w:bookmarkEnd w:id="601"/>
      <w:bookmarkStart w:id="602" w:name="_Toc225885031"/>
      <w:bookmarkEnd w:id="602"/>
      <w:bookmarkStart w:id="603" w:name="_Toc225884622"/>
      <w:bookmarkEnd w:id="603"/>
      <w:bookmarkStart w:id="604" w:name="_Toc225884828"/>
      <w:bookmarkEnd w:id="604"/>
      <w:bookmarkStart w:id="605" w:name="_Toc225885238"/>
      <w:bookmarkEnd w:id="605"/>
      <w:bookmarkStart w:id="606" w:name="_Toc225885446"/>
      <w:bookmarkEnd w:id="606"/>
      <w:bookmarkStart w:id="607" w:name="_Toc240124546"/>
      <w:bookmarkEnd w:id="607"/>
      <w:bookmarkStart w:id="608" w:name="_Toc225885652"/>
      <w:bookmarkEnd w:id="608"/>
      <w:bookmarkStart w:id="609" w:name="_Toc225885033"/>
      <w:bookmarkEnd w:id="609"/>
      <w:bookmarkStart w:id="610" w:name="_Toc225885447"/>
      <w:bookmarkEnd w:id="610"/>
      <w:bookmarkStart w:id="611" w:name="_Toc225885650"/>
      <w:bookmarkEnd w:id="611"/>
      <w:bookmarkStart w:id="612" w:name="_Toc240124548"/>
      <w:bookmarkEnd w:id="612"/>
      <w:bookmarkStart w:id="613" w:name="_Toc225884419"/>
      <w:bookmarkEnd w:id="613"/>
      <w:bookmarkStart w:id="614" w:name="_Toc225884830"/>
      <w:bookmarkEnd w:id="614"/>
      <w:bookmarkStart w:id="615" w:name="_Toc225885035"/>
      <w:bookmarkEnd w:id="615"/>
      <w:bookmarkStart w:id="616" w:name="_Toc240124549"/>
      <w:bookmarkEnd w:id="616"/>
      <w:bookmarkStart w:id="617" w:name="_Toc225884626"/>
      <w:bookmarkEnd w:id="617"/>
      <w:bookmarkStart w:id="618" w:name="_Toc225884415"/>
      <w:bookmarkEnd w:id="618"/>
      <w:bookmarkStart w:id="619" w:name="_Toc225885243"/>
      <w:bookmarkEnd w:id="619"/>
      <w:bookmarkStart w:id="620" w:name="_Toc225885655"/>
      <w:bookmarkEnd w:id="620"/>
      <w:bookmarkStart w:id="621" w:name="_Toc225884621"/>
      <w:bookmarkEnd w:id="621"/>
      <w:bookmarkStart w:id="622" w:name="_Toc225884623"/>
      <w:bookmarkEnd w:id="622"/>
      <w:bookmarkStart w:id="623" w:name="_Toc240124545"/>
      <w:bookmarkEnd w:id="623"/>
      <w:bookmarkStart w:id="624" w:name="_Toc240124551"/>
      <w:bookmarkEnd w:id="624"/>
      <w:bookmarkStart w:id="625" w:name="_Toc240124550"/>
      <w:bookmarkEnd w:id="625"/>
      <w:bookmarkStart w:id="626" w:name="_Toc225884418"/>
      <w:bookmarkEnd w:id="626"/>
      <w:bookmarkStart w:id="627" w:name="_Toc225885036"/>
      <w:bookmarkEnd w:id="627"/>
      <w:bookmarkStart w:id="628" w:name="_Toc225885450"/>
      <w:bookmarkEnd w:id="628"/>
      <w:bookmarkStart w:id="629" w:name="_Toc225884627"/>
      <w:bookmarkEnd w:id="629"/>
      <w:bookmarkStart w:id="630" w:name="_Toc225885032"/>
      <w:bookmarkEnd w:id="630"/>
      <w:bookmarkStart w:id="631" w:name="_Toc225885651"/>
      <w:bookmarkEnd w:id="631"/>
      <w:bookmarkStart w:id="632" w:name="_Toc225884417"/>
      <w:bookmarkEnd w:id="632"/>
      <w:bookmarkStart w:id="633" w:name="_Toc225884831"/>
      <w:bookmarkEnd w:id="633"/>
      <w:bookmarkStart w:id="634" w:name="_Toc225884632"/>
      <w:bookmarkEnd w:id="634"/>
      <w:bookmarkStart w:id="635" w:name="_Toc225884634"/>
      <w:bookmarkEnd w:id="635"/>
      <w:bookmarkStart w:id="636" w:name="_Toc225884835"/>
      <w:bookmarkEnd w:id="636"/>
      <w:bookmarkStart w:id="637" w:name="_Toc240124556"/>
      <w:bookmarkEnd w:id="637"/>
      <w:bookmarkStart w:id="638" w:name="_Toc225884836"/>
      <w:bookmarkEnd w:id="638"/>
      <w:bookmarkStart w:id="639" w:name="_Toc225884840"/>
      <w:bookmarkEnd w:id="639"/>
      <w:bookmarkStart w:id="640" w:name="_Toc225885248"/>
      <w:bookmarkEnd w:id="640"/>
      <w:bookmarkStart w:id="641" w:name="_Toc240124559"/>
      <w:bookmarkEnd w:id="641"/>
      <w:bookmarkStart w:id="642" w:name="_Toc240124554"/>
      <w:bookmarkEnd w:id="642"/>
      <w:bookmarkStart w:id="643" w:name="_Toc225885245"/>
      <w:bookmarkEnd w:id="643"/>
      <w:bookmarkStart w:id="644" w:name="_Toc225884427"/>
      <w:bookmarkEnd w:id="644"/>
      <w:bookmarkStart w:id="645" w:name="_Toc225884841"/>
      <w:bookmarkEnd w:id="645"/>
      <w:bookmarkStart w:id="646" w:name="_Toc225885045"/>
      <w:bookmarkEnd w:id="646"/>
      <w:bookmarkStart w:id="647" w:name="_Toc225885252"/>
      <w:bookmarkEnd w:id="647"/>
      <w:bookmarkStart w:id="648" w:name="_Toc225885664"/>
      <w:bookmarkEnd w:id="648"/>
      <w:bookmarkStart w:id="649" w:name="_Toc225885454"/>
      <w:bookmarkEnd w:id="649"/>
      <w:bookmarkStart w:id="650" w:name="_Toc225885039"/>
      <w:bookmarkEnd w:id="650"/>
      <w:bookmarkStart w:id="651" w:name="_Toc225884839"/>
      <w:bookmarkEnd w:id="651"/>
      <w:bookmarkStart w:id="652" w:name="_Toc225885458"/>
      <w:bookmarkEnd w:id="652"/>
      <w:bookmarkStart w:id="653" w:name="_Toc240124560"/>
      <w:bookmarkEnd w:id="653"/>
      <w:bookmarkStart w:id="654" w:name="_Toc225884430"/>
      <w:bookmarkEnd w:id="654"/>
      <w:bookmarkStart w:id="655" w:name="_Toc225884636"/>
      <w:bookmarkEnd w:id="655"/>
      <w:bookmarkStart w:id="656" w:name="_Toc225885043"/>
      <w:bookmarkEnd w:id="656"/>
      <w:bookmarkStart w:id="657" w:name="_Toc225885044"/>
      <w:bookmarkEnd w:id="657"/>
      <w:bookmarkStart w:id="658" w:name="_Toc225884842"/>
      <w:bookmarkEnd w:id="658"/>
      <w:bookmarkStart w:id="659" w:name="_Toc225885661"/>
      <w:bookmarkEnd w:id="659"/>
      <w:bookmarkStart w:id="660" w:name="_Toc225885662"/>
      <w:bookmarkEnd w:id="660"/>
      <w:bookmarkStart w:id="661" w:name="_Toc225885459"/>
      <w:bookmarkEnd w:id="661"/>
      <w:bookmarkStart w:id="662" w:name="_Toc225885046"/>
      <w:bookmarkEnd w:id="662"/>
      <w:bookmarkStart w:id="663" w:name="_Toc225884633"/>
      <w:bookmarkEnd w:id="663"/>
      <w:bookmarkStart w:id="664" w:name="_Toc240124553"/>
      <w:bookmarkEnd w:id="664"/>
      <w:bookmarkStart w:id="665" w:name="_Toc225884629"/>
      <w:bookmarkEnd w:id="665"/>
      <w:bookmarkStart w:id="666" w:name="_Toc225884424"/>
      <w:bookmarkEnd w:id="666"/>
      <w:bookmarkStart w:id="667" w:name="_Toc225885659"/>
      <w:bookmarkEnd w:id="667"/>
      <w:bookmarkStart w:id="668" w:name="_Toc240124555"/>
      <w:bookmarkEnd w:id="668"/>
      <w:bookmarkStart w:id="669" w:name="_Toc225884630"/>
      <w:bookmarkEnd w:id="669"/>
      <w:bookmarkStart w:id="670" w:name="_Toc225884631"/>
      <w:bookmarkEnd w:id="670"/>
      <w:bookmarkStart w:id="671" w:name="_Toc225884423"/>
      <w:bookmarkEnd w:id="671"/>
      <w:bookmarkStart w:id="672" w:name="_Toc225885247"/>
      <w:bookmarkEnd w:id="672"/>
      <w:bookmarkStart w:id="673" w:name="_Toc225884837"/>
      <w:bookmarkEnd w:id="673"/>
      <w:bookmarkStart w:id="674" w:name="_Toc225884426"/>
      <w:bookmarkEnd w:id="674"/>
      <w:bookmarkStart w:id="675" w:name="_Toc225885452"/>
      <w:bookmarkEnd w:id="675"/>
      <w:bookmarkStart w:id="676" w:name="_Toc225885657"/>
      <w:bookmarkEnd w:id="676"/>
      <w:bookmarkStart w:id="677" w:name="_Toc225885040"/>
      <w:bookmarkEnd w:id="677"/>
      <w:bookmarkStart w:id="678" w:name="_Toc225884838"/>
      <w:bookmarkEnd w:id="678"/>
      <w:bookmarkStart w:id="679" w:name="_Toc225885042"/>
      <w:bookmarkEnd w:id="679"/>
      <w:bookmarkStart w:id="680" w:name="_Toc225885249"/>
      <w:bookmarkEnd w:id="680"/>
      <w:bookmarkStart w:id="681" w:name="_Toc240124557"/>
      <w:bookmarkEnd w:id="681"/>
      <w:bookmarkStart w:id="682" w:name="_Toc225885453"/>
      <w:bookmarkEnd w:id="682"/>
      <w:bookmarkStart w:id="683" w:name="_Toc225885250"/>
      <w:bookmarkEnd w:id="683"/>
      <w:bookmarkStart w:id="684" w:name="_Toc225885457"/>
      <w:bookmarkEnd w:id="684"/>
      <w:bookmarkStart w:id="685" w:name="_Toc225885658"/>
      <w:bookmarkEnd w:id="685"/>
      <w:bookmarkStart w:id="686" w:name="_Toc225885660"/>
      <w:bookmarkEnd w:id="686"/>
      <w:bookmarkStart w:id="687" w:name="_Toc225885246"/>
      <w:bookmarkEnd w:id="687"/>
      <w:bookmarkStart w:id="688" w:name="_Toc225884428"/>
      <w:bookmarkEnd w:id="688"/>
      <w:bookmarkStart w:id="689" w:name="_Toc225885251"/>
      <w:bookmarkEnd w:id="689"/>
      <w:bookmarkStart w:id="690" w:name="_Toc225885456"/>
      <w:bookmarkEnd w:id="690"/>
      <w:bookmarkStart w:id="691" w:name="_Toc225885663"/>
      <w:bookmarkEnd w:id="691"/>
      <w:bookmarkStart w:id="692" w:name="_Toc225884429"/>
      <w:bookmarkEnd w:id="692"/>
      <w:bookmarkStart w:id="693" w:name="_Toc225884635"/>
      <w:bookmarkEnd w:id="693"/>
      <w:bookmarkStart w:id="694" w:name="_Toc225884425"/>
      <w:bookmarkEnd w:id="694"/>
      <w:bookmarkStart w:id="695" w:name="_Toc225885041"/>
      <w:bookmarkEnd w:id="695"/>
      <w:bookmarkStart w:id="696" w:name="_Toc225885455"/>
      <w:bookmarkEnd w:id="696"/>
      <w:bookmarkStart w:id="697" w:name="_Toc240124558"/>
      <w:bookmarkEnd w:id="697"/>
      <w:bookmarkStart w:id="698" w:name="_Toc225884846"/>
      <w:bookmarkEnd w:id="698"/>
      <w:bookmarkStart w:id="699" w:name="_Toc225884643"/>
      <w:bookmarkEnd w:id="699"/>
      <w:bookmarkStart w:id="700" w:name="_Toc225884638"/>
      <w:bookmarkEnd w:id="700"/>
      <w:bookmarkStart w:id="701" w:name="_Toc225885460"/>
      <w:bookmarkEnd w:id="701"/>
      <w:bookmarkStart w:id="702" w:name="_Toc240124562"/>
      <w:bookmarkEnd w:id="702"/>
      <w:bookmarkStart w:id="703" w:name="_Toc225885670"/>
      <w:bookmarkEnd w:id="703"/>
      <w:bookmarkStart w:id="704" w:name="_Toc225884642"/>
      <w:bookmarkEnd w:id="704"/>
      <w:bookmarkStart w:id="705" w:name="_Toc225885053"/>
      <w:bookmarkEnd w:id="705"/>
      <w:bookmarkStart w:id="706" w:name="_Toc225885260"/>
      <w:bookmarkEnd w:id="706"/>
      <w:bookmarkStart w:id="707" w:name="_Toc225884637"/>
      <w:bookmarkEnd w:id="707"/>
      <w:bookmarkStart w:id="708" w:name="_Toc240124563"/>
      <w:bookmarkEnd w:id="708"/>
      <w:bookmarkStart w:id="709" w:name="_Toc225885257"/>
      <w:bookmarkEnd w:id="709"/>
      <w:bookmarkStart w:id="710" w:name="_Toc225885256"/>
      <w:bookmarkEnd w:id="710"/>
      <w:bookmarkStart w:id="711" w:name="_Toc225885462"/>
      <w:bookmarkEnd w:id="711"/>
      <w:bookmarkStart w:id="712" w:name="_Toc225885255"/>
      <w:bookmarkEnd w:id="712"/>
      <w:bookmarkStart w:id="713" w:name="_Toc225885668"/>
      <w:bookmarkEnd w:id="713"/>
      <w:bookmarkStart w:id="714" w:name="_Toc225884640"/>
      <w:bookmarkEnd w:id="714"/>
      <w:bookmarkStart w:id="715" w:name="_Toc240124566"/>
      <w:bookmarkEnd w:id="715"/>
      <w:bookmarkStart w:id="716" w:name="_Toc225884848"/>
      <w:bookmarkEnd w:id="716"/>
      <w:bookmarkStart w:id="717" w:name="_Toc225884849"/>
      <w:bookmarkEnd w:id="717"/>
      <w:bookmarkStart w:id="718" w:name="_Toc225885467"/>
      <w:bookmarkEnd w:id="718"/>
      <w:bookmarkStart w:id="719" w:name="_Toc225885672"/>
      <w:bookmarkEnd w:id="719"/>
      <w:bookmarkStart w:id="720" w:name="_Toc225884847"/>
      <w:bookmarkEnd w:id="720"/>
      <w:bookmarkStart w:id="721" w:name="_Toc225885465"/>
      <w:bookmarkEnd w:id="721"/>
      <w:bookmarkStart w:id="722" w:name="_Toc240124568"/>
      <w:bookmarkEnd w:id="722"/>
      <w:bookmarkStart w:id="723" w:name="_Toc225885259"/>
      <w:bookmarkEnd w:id="723"/>
      <w:bookmarkStart w:id="724" w:name="_Toc225884438"/>
      <w:bookmarkEnd w:id="724"/>
      <w:bookmarkStart w:id="725" w:name="_Toc225884644"/>
      <w:bookmarkEnd w:id="725"/>
      <w:bookmarkStart w:id="726" w:name="_Toc225884850"/>
      <w:bookmarkEnd w:id="726"/>
      <w:bookmarkStart w:id="727" w:name="_Toc225885054"/>
      <w:bookmarkEnd w:id="727"/>
      <w:bookmarkStart w:id="728" w:name="_Toc225885665"/>
      <w:bookmarkEnd w:id="728"/>
      <w:bookmarkStart w:id="729" w:name="_Toc225885254"/>
      <w:bookmarkEnd w:id="729"/>
      <w:bookmarkStart w:id="730" w:name="_Toc225885258"/>
      <w:bookmarkEnd w:id="730"/>
      <w:bookmarkStart w:id="731" w:name="_Toc225885051"/>
      <w:bookmarkEnd w:id="731"/>
      <w:bookmarkStart w:id="732" w:name="_Toc225884845"/>
      <w:bookmarkEnd w:id="732"/>
      <w:bookmarkStart w:id="733" w:name="_Toc225884639"/>
      <w:bookmarkEnd w:id="733"/>
      <w:bookmarkStart w:id="734" w:name="_Toc240124564"/>
      <w:bookmarkEnd w:id="734"/>
      <w:bookmarkStart w:id="735" w:name="_Toc240124561"/>
      <w:bookmarkEnd w:id="735"/>
      <w:bookmarkStart w:id="736" w:name="_Toc225885461"/>
      <w:bookmarkEnd w:id="736"/>
      <w:bookmarkStart w:id="737" w:name="_Toc225884432"/>
      <w:bookmarkEnd w:id="737"/>
      <w:bookmarkStart w:id="738" w:name="_Toc225885253"/>
      <w:bookmarkEnd w:id="738"/>
      <w:bookmarkStart w:id="739" w:name="_Toc225884843"/>
      <w:bookmarkEnd w:id="739"/>
      <w:bookmarkStart w:id="740" w:name="_Toc225885047"/>
      <w:bookmarkEnd w:id="740"/>
      <w:bookmarkStart w:id="741" w:name="_Toc225885050"/>
      <w:bookmarkEnd w:id="741"/>
      <w:bookmarkStart w:id="742" w:name="_Toc225885667"/>
      <w:bookmarkEnd w:id="742"/>
      <w:bookmarkStart w:id="743" w:name="_Toc225884433"/>
      <w:bookmarkEnd w:id="743"/>
      <w:bookmarkStart w:id="744" w:name="_Toc225885464"/>
      <w:bookmarkEnd w:id="744"/>
      <w:bookmarkStart w:id="745" w:name="_Toc225884431"/>
      <w:bookmarkEnd w:id="745"/>
      <w:bookmarkStart w:id="746" w:name="_Toc225885669"/>
      <w:bookmarkEnd w:id="746"/>
      <w:bookmarkStart w:id="747" w:name="_Toc225885463"/>
      <w:bookmarkEnd w:id="747"/>
      <w:bookmarkStart w:id="748" w:name="_Toc225884641"/>
      <w:bookmarkEnd w:id="748"/>
      <w:bookmarkStart w:id="749" w:name="_Toc225884436"/>
      <w:bookmarkEnd w:id="749"/>
      <w:bookmarkStart w:id="750" w:name="_Toc225885666"/>
      <w:bookmarkEnd w:id="750"/>
      <w:bookmarkStart w:id="751" w:name="_Toc225884844"/>
      <w:bookmarkEnd w:id="751"/>
      <w:bookmarkStart w:id="752" w:name="_Toc225885048"/>
      <w:bookmarkEnd w:id="752"/>
      <w:bookmarkStart w:id="753" w:name="_Toc225885049"/>
      <w:bookmarkEnd w:id="753"/>
      <w:bookmarkStart w:id="754" w:name="_Toc225884435"/>
      <w:bookmarkEnd w:id="754"/>
      <w:bookmarkStart w:id="755" w:name="_Toc225885052"/>
      <w:bookmarkEnd w:id="755"/>
      <w:bookmarkStart w:id="756" w:name="_Toc240124565"/>
      <w:bookmarkEnd w:id="756"/>
      <w:bookmarkStart w:id="757" w:name="_Toc225885466"/>
      <w:bookmarkEnd w:id="757"/>
      <w:bookmarkStart w:id="758" w:name="_Toc225885671"/>
      <w:bookmarkEnd w:id="758"/>
      <w:bookmarkStart w:id="759" w:name="_Toc240124567"/>
      <w:bookmarkEnd w:id="759"/>
      <w:bookmarkStart w:id="760" w:name="_Toc225884434"/>
      <w:bookmarkEnd w:id="760"/>
      <w:bookmarkStart w:id="761" w:name="_Toc225884437"/>
      <w:bookmarkEnd w:id="761"/>
      <w:bookmarkStart w:id="762" w:name="_Toc225884647"/>
      <w:bookmarkEnd w:id="762"/>
      <w:bookmarkStart w:id="763" w:name="_Toc225884649"/>
      <w:bookmarkEnd w:id="763"/>
      <w:bookmarkStart w:id="764" w:name="_Toc225884855"/>
      <w:bookmarkEnd w:id="764"/>
      <w:bookmarkStart w:id="765" w:name="_Toc240124571"/>
      <w:bookmarkEnd w:id="765"/>
      <w:bookmarkStart w:id="766" w:name="_Toc225884851"/>
      <w:bookmarkEnd w:id="766"/>
      <w:bookmarkStart w:id="767" w:name="_Toc240124574"/>
      <w:bookmarkEnd w:id="767"/>
      <w:bookmarkStart w:id="768" w:name="_Toc225885263"/>
      <w:bookmarkEnd w:id="768"/>
      <w:bookmarkStart w:id="769" w:name="_Toc225885474"/>
      <w:bookmarkEnd w:id="769"/>
      <w:bookmarkStart w:id="770" w:name="_Toc240124569"/>
      <w:bookmarkEnd w:id="770"/>
      <w:bookmarkStart w:id="771" w:name="_Toc225884445"/>
      <w:bookmarkEnd w:id="771"/>
      <w:bookmarkStart w:id="772" w:name="_Toc225884442"/>
      <w:bookmarkEnd w:id="772"/>
      <w:bookmarkStart w:id="773" w:name="_Toc225884651"/>
      <w:bookmarkEnd w:id="773"/>
      <w:bookmarkStart w:id="774" w:name="_Toc225884857"/>
      <w:bookmarkEnd w:id="774"/>
      <w:bookmarkStart w:id="775" w:name="_Toc225885268"/>
      <w:bookmarkEnd w:id="775"/>
      <w:bookmarkStart w:id="776" w:name="_Toc225885475"/>
      <w:bookmarkEnd w:id="776"/>
      <w:bookmarkStart w:id="777" w:name="_Toc225885469"/>
      <w:bookmarkEnd w:id="777"/>
      <w:bookmarkStart w:id="778" w:name="_Toc225884854"/>
      <w:bookmarkEnd w:id="778"/>
      <w:bookmarkStart w:id="779" w:name="_Toc225885473"/>
      <w:bookmarkEnd w:id="779"/>
      <w:bookmarkStart w:id="780" w:name="_Toc225885680"/>
      <w:bookmarkEnd w:id="780"/>
      <w:bookmarkStart w:id="781" w:name="_Toc240124576"/>
      <w:bookmarkEnd w:id="781"/>
      <w:bookmarkStart w:id="782" w:name="_Toc225884446"/>
      <w:bookmarkEnd w:id="782"/>
      <w:bookmarkStart w:id="783" w:name="_Toc225884652"/>
      <w:bookmarkEnd w:id="783"/>
      <w:bookmarkStart w:id="784" w:name="_Toc225885058"/>
      <w:bookmarkEnd w:id="784"/>
      <w:bookmarkStart w:id="785" w:name="_Toc225885059"/>
      <w:bookmarkEnd w:id="785"/>
      <w:bookmarkStart w:id="786" w:name="_Toc225884858"/>
      <w:bookmarkEnd w:id="786"/>
      <w:bookmarkStart w:id="787" w:name="_Toc225885676"/>
      <w:bookmarkEnd w:id="787"/>
      <w:bookmarkStart w:id="788" w:name="_Toc225885677"/>
      <w:bookmarkEnd w:id="788"/>
      <w:bookmarkStart w:id="789" w:name="_Toc225885061"/>
      <w:bookmarkEnd w:id="789"/>
      <w:bookmarkStart w:id="790" w:name="_Toc225885062"/>
      <w:bookmarkEnd w:id="790"/>
      <w:bookmarkStart w:id="791" w:name="_Toc225884648"/>
      <w:bookmarkEnd w:id="791"/>
      <w:bookmarkStart w:id="792" w:name="_Toc225884646"/>
      <w:bookmarkEnd w:id="792"/>
      <w:bookmarkStart w:id="793" w:name="_Toc225885674"/>
      <w:bookmarkEnd w:id="793"/>
      <w:bookmarkStart w:id="794" w:name="_Toc225884439"/>
      <w:bookmarkEnd w:id="794"/>
      <w:bookmarkStart w:id="795" w:name="_Toc240124570"/>
      <w:bookmarkEnd w:id="795"/>
      <w:bookmarkStart w:id="796" w:name="_Toc225884852"/>
      <w:bookmarkEnd w:id="796"/>
      <w:bookmarkStart w:id="797" w:name="_Toc225884645"/>
      <w:bookmarkEnd w:id="797"/>
      <w:bookmarkStart w:id="798" w:name="_Toc225885264"/>
      <w:bookmarkEnd w:id="798"/>
      <w:bookmarkStart w:id="799" w:name="_Toc225885262"/>
      <w:bookmarkEnd w:id="799"/>
      <w:bookmarkStart w:id="800" w:name="_Toc225885057"/>
      <w:bookmarkEnd w:id="800"/>
      <w:bookmarkStart w:id="801" w:name="_Toc225884441"/>
      <w:bookmarkEnd w:id="801"/>
      <w:bookmarkStart w:id="802" w:name="_Toc225884853"/>
      <w:bookmarkEnd w:id="802"/>
      <w:bookmarkStart w:id="803" w:name="_Toc225885055"/>
      <w:bookmarkEnd w:id="803"/>
      <w:bookmarkStart w:id="804" w:name="_Toc225885472"/>
      <w:bookmarkEnd w:id="804"/>
      <w:bookmarkStart w:id="805" w:name="_Toc225884443"/>
      <w:bookmarkEnd w:id="805"/>
      <w:bookmarkStart w:id="806" w:name="_Toc240124572"/>
      <w:bookmarkEnd w:id="806"/>
      <w:bookmarkStart w:id="807" w:name="_Toc225885678"/>
      <w:bookmarkEnd w:id="807"/>
      <w:bookmarkStart w:id="808" w:name="_Toc225885265"/>
      <w:bookmarkEnd w:id="808"/>
      <w:bookmarkStart w:id="809" w:name="_Toc225884650"/>
      <w:bookmarkEnd w:id="809"/>
      <w:bookmarkStart w:id="810" w:name="_Toc225885468"/>
      <w:bookmarkEnd w:id="810"/>
      <w:bookmarkStart w:id="811" w:name="_Toc225885060"/>
      <w:bookmarkEnd w:id="811"/>
      <w:bookmarkStart w:id="812" w:name="_Toc225885267"/>
      <w:bookmarkEnd w:id="812"/>
      <w:bookmarkStart w:id="813" w:name="_Toc225885673"/>
      <w:bookmarkEnd w:id="813"/>
      <w:bookmarkStart w:id="814" w:name="_Toc225885675"/>
      <w:bookmarkEnd w:id="814"/>
      <w:bookmarkStart w:id="815" w:name="_Toc225885261"/>
      <w:bookmarkEnd w:id="815"/>
      <w:bookmarkStart w:id="816" w:name="_Toc240124575"/>
      <w:bookmarkEnd w:id="816"/>
      <w:bookmarkStart w:id="817" w:name="_Toc225885266"/>
      <w:bookmarkEnd w:id="817"/>
      <w:bookmarkStart w:id="818" w:name="_Toc225885471"/>
      <w:bookmarkEnd w:id="818"/>
      <w:bookmarkStart w:id="819" w:name="_Toc225884444"/>
      <w:bookmarkEnd w:id="819"/>
      <w:bookmarkStart w:id="820" w:name="_Toc225884856"/>
      <w:bookmarkEnd w:id="820"/>
      <w:bookmarkStart w:id="821" w:name="_Toc225885679"/>
      <w:bookmarkEnd w:id="821"/>
      <w:bookmarkStart w:id="822" w:name="_Toc225884440"/>
      <w:bookmarkEnd w:id="822"/>
      <w:bookmarkStart w:id="823" w:name="_Toc225885056"/>
      <w:bookmarkEnd w:id="823"/>
      <w:bookmarkStart w:id="824" w:name="_Toc225885470"/>
      <w:bookmarkEnd w:id="824"/>
      <w:bookmarkStart w:id="825" w:name="_Toc240124573"/>
      <w:bookmarkEnd w:id="825"/>
      <w:bookmarkStart w:id="826" w:name="_Toc240124582"/>
      <w:bookmarkEnd w:id="826"/>
      <w:bookmarkStart w:id="827" w:name="_Toc225885064"/>
      <w:bookmarkEnd w:id="827"/>
      <w:bookmarkStart w:id="828" w:name="_Toc240124578"/>
      <w:bookmarkEnd w:id="828"/>
      <w:bookmarkStart w:id="829" w:name="_Toc225885477"/>
      <w:bookmarkEnd w:id="829"/>
      <w:bookmarkStart w:id="830" w:name="_Toc225884658"/>
      <w:bookmarkEnd w:id="830"/>
      <w:bookmarkStart w:id="831" w:name="_Toc225885683"/>
      <w:bookmarkEnd w:id="831"/>
      <w:bookmarkStart w:id="832" w:name="_Toc225884864"/>
      <w:bookmarkEnd w:id="832"/>
      <w:bookmarkStart w:id="833" w:name="_Toc225885068"/>
      <w:bookmarkEnd w:id="833"/>
      <w:bookmarkStart w:id="834" w:name="_Toc225885687"/>
      <w:bookmarkEnd w:id="834"/>
      <w:bookmarkStart w:id="835" w:name="_Toc240124577"/>
      <w:bookmarkEnd w:id="835"/>
      <w:bookmarkStart w:id="836" w:name="_Toc225885067"/>
      <w:bookmarkEnd w:id="836"/>
      <w:bookmarkStart w:id="837" w:name="_Toc225885274"/>
      <w:bookmarkEnd w:id="837"/>
      <w:bookmarkStart w:id="838" w:name="_Toc225885481"/>
      <w:bookmarkEnd w:id="838"/>
      <w:bookmarkStart w:id="839" w:name="_Toc225885275"/>
      <w:bookmarkEnd w:id="839"/>
      <w:bookmarkStart w:id="840" w:name="_Toc240124583"/>
      <w:bookmarkEnd w:id="840"/>
      <w:bookmarkStart w:id="841" w:name="_Toc225884453"/>
      <w:bookmarkEnd w:id="841"/>
      <w:bookmarkStart w:id="842" w:name="_Toc225884657"/>
      <w:bookmarkEnd w:id="842"/>
      <w:bookmarkStart w:id="843" w:name="_Toc225884865"/>
      <w:bookmarkEnd w:id="843"/>
      <w:bookmarkStart w:id="844" w:name="_Toc225885069"/>
      <w:bookmarkEnd w:id="844"/>
      <w:bookmarkStart w:id="845" w:name="_Toc225885483"/>
      <w:bookmarkEnd w:id="845"/>
      <w:bookmarkStart w:id="846" w:name="_Toc240124579"/>
      <w:bookmarkEnd w:id="846"/>
      <w:bookmarkStart w:id="847" w:name="_Toc225885272"/>
      <w:bookmarkEnd w:id="847"/>
      <w:bookmarkStart w:id="848" w:name="_Toc225885276"/>
      <w:bookmarkEnd w:id="848"/>
      <w:bookmarkStart w:id="849" w:name="_Toc225885688"/>
      <w:bookmarkEnd w:id="849"/>
      <w:bookmarkStart w:id="850" w:name="_Toc225885482"/>
      <w:bookmarkEnd w:id="850"/>
      <w:bookmarkStart w:id="851" w:name="_Toc225884659"/>
      <w:bookmarkEnd w:id="851"/>
      <w:bookmarkStart w:id="852" w:name="_Toc225884862"/>
      <w:bookmarkEnd w:id="852"/>
      <w:bookmarkStart w:id="853" w:name="_Toc225885066"/>
      <w:bookmarkEnd w:id="853"/>
      <w:bookmarkStart w:id="854" w:name="_Toc225884454"/>
      <w:bookmarkEnd w:id="854"/>
      <w:bookmarkStart w:id="855" w:name="_Toc225884660"/>
      <w:bookmarkEnd w:id="855"/>
      <w:bookmarkStart w:id="856" w:name="_Toc225885269"/>
      <w:bookmarkEnd w:id="856"/>
      <w:bookmarkStart w:id="857" w:name="_Toc225884859"/>
      <w:bookmarkEnd w:id="857"/>
      <w:bookmarkStart w:id="858" w:name="_Toc240124584"/>
      <w:bookmarkEnd w:id="858"/>
      <w:bookmarkStart w:id="859" w:name="_Toc225884866"/>
      <w:bookmarkEnd w:id="859"/>
      <w:bookmarkStart w:id="860" w:name="_Toc225884452"/>
      <w:bookmarkEnd w:id="860"/>
      <w:bookmarkStart w:id="861" w:name="_Toc225885478"/>
      <w:bookmarkEnd w:id="861"/>
      <w:bookmarkStart w:id="862" w:name="_Toc225885070"/>
      <w:bookmarkEnd w:id="862"/>
      <w:bookmarkStart w:id="863" w:name="_Toc225885476"/>
      <w:bookmarkEnd w:id="863"/>
      <w:bookmarkStart w:id="864" w:name="_Toc225885063"/>
      <w:bookmarkEnd w:id="864"/>
      <w:bookmarkStart w:id="865" w:name="_Toc225885682"/>
      <w:bookmarkEnd w:id="865"/>
      <w:bookmarkStart w:id="866" w:name="_Toc225884655"/>
      <w:bookmarkEnd w:id="866"/>
      <w:bookmarkStart w:id="867" w:name="_Toc225884447"/>
      <w:bookmarkEnd w:id="867"/>
      <w:bookmarkStart w:id="868" w:name="_Toc225884653"/>
      <w:bookmarkEnd w:id="868"/>
      <w:bookmarkStart w:id="869" w:name="_Toc225884860"/>
      <w:bookmarkEnd w:id="869"/>
      <w:bookmarkStart w:id="870" w:name="_Toc225884861"/>
      <w:bookmarkEnd w:id="870"/>
      <w:bookmarkStart w:id="871" w:name="_Toc225885065"/>
      <w:bookmarkEnd w:id="871"/>
      <w:bookmarkStart w:id="872" w:name="_Toc225885684"/>
      <w:bookmarkEnd w:id="872"/>
      <w:bookmarkStart w:id="873" w:name="_Toc225885681"/>
      <w:bookmarkEnd w:id="873"/>
      <w:bookmarkStart w:id="874" w:name="_Toc240124580"/>
      <w:bookmarkEnd w:id="874"/>
      <w:bookmarkStart w:id="875" w:name="_Toc225884656"/>
      <w:bookmarkEnd w:id="875"/>
      <w:bookmarkStart w:id="876" w:name="_Toc225885479"/>
      <w:bookmarkEnd w:id="876"/>
      <w:bookmarkStart w:id="877" w:name="_Toc225885273"/>
      <w:bookmarkEnd w:id="877"/>
      <w:bookmarkStart w:id="878" w:name="_Toc225885270"/>
      <w:bookmarkEnd w:id="878"/>
      <w:bookmarkStart w:id="879" w:name="_Toc225884448"/>
      <w:bookmarkEnd w:id="879"/>
      <w:bookmarkStart w:id="880" w:name="_Toc225884654"/>
      <w:bookmarkEnd w:id="880"/>
      <w:bookmarkStart w:id="881" w:name="_Toc225884450"/>
      <w:bookmarkEnd w:id="881"/>
      <w:bookmarkStart w:id="882" w:name="_Toc225885480"/>
      <w:bookmarkEnd w:id="882"/>
      <w:bookmarkStart w:id="883" w:name="_Toc225885271"/>
      <w:bookmarkEnd w:id="883"/>
      <w:bookmarkStart w:id="884" w:name="_Toc225885685"/>
      <w:bookmarkEnd w:id="884"/>
      <w:bookmarkStart w:id="885" w:name="_Toc225884449"/>
      <w:bookmarkEnd w:id="885"/>
      <w:bookmarkStart w:id="886" w:name="_Toc240124581"/>
      <w:bookmarkEnd w:id="886"/>
      <w:bookmarkStart w:id="887" w:name="_Toc225884451"/>
      <w:bookmarkEnd w:id="887"/>
      <w:bookmarkStart w:id="888" w:name="_Toc225884863"/>
      <w:bookmarkEnd w:id="888"/>
      <w:bookmarkStart w:id="889" w:name="_Toc225885686"/>
      <w:bookmarkEnd w:id="889"/>
      <w:bookmarkStart w:id="890" w:name="_Toc225885689"/>
      <w:bookmarkEnd w:id="890"/>
      <w:bookmarkStart w:id="891" w:name="_Toc225885485"/>
      <w:bookmarkEnd w:id="891"/>
      <w:bookmarkStart w:id="892" w:name="_Toc240124586"/>
      <w:bookmarkEnd w:id="892"/>
      <w:bookmarkStart w:id="893" w:name="_Toc225885278"/>
      <w:bookmarkEnd w:id="893"/>
      <w:bookmarkStart w:id="894" w:name="_Toc225884867"/>
      <w:bookmarkEnd w:id="894"/>
      <w:bookmarkStart w:id="895" w:name="_Toc225885071"/>
      <w:bookmarkEnd w:id="895"/>
      <w:bookmarkStart w:id="896" w:name="_Toc225884455"/>
      <w:bookmarkEnd w:id="896"/>
      <w:bookmarkStart w:id="897" w:name="_Toc225885690"/>
      <w:bookmarkEnd w:id="897"/>
      <w:bookmarkStart w:id="898" w:name="_Toc240124585"/>
      <w:bookmarkEnd w:id="898"/>
      <w:bookmarkStart w:id="899" w:name="_Toc225885277"/>
      <w:bookmarkEnd w:id="899"/>
      <w:bookmarkStart w:id="900" w:name="_Toc225884661"/>
      <w:bookmarkEnd w:id="900"/>
      <w:bookmarkStart w:id="901" w:name="_Toc225885484"/>
      <w:bookmarkEnd w:id="901"/>
      <w:bookmarkStart w:id="902" w:name="_Toc303149782"/>
      <w:bookmarkStart w:id="903" w:name="_Toc314478371"/>
      <w:bookmarkStart w:id="904" w:name="_Toc309649095"/>
      <w:bookmarkStart w:id="905" w:name="_Toc314487176"/>
      <w:bookmarkStart w:id="906" w:name="_Toc303149816"/>
      <w:bookmarkStart w:id="907" w:name="_Toc240124587"/>
      <w:bookmarkStart w:id="908" w:name="_Toc316393926"/>
      <w:bookmarkStart w:id="909" w:name="_Toc303780193"/>
      <w:r>
        <w:rPr>
          <w:rFonts w:hint="eastAsia"/>
          <w:color w:val="000000" w:themeColor="text1"/>
          <w14:textFill>
            <w14:solidFill>
              <w14:schemeClr w14:val="tx1"/>
            </w14:solidFill>
          </w14:textFill>
        </w:rPr>
        <w:t>一般要求</w:t>
      </w:r>
      <w:bookmarkEnd w:id="902"/>
      <w:bookmarkEnd w:id="903"/>
      <w:bookmarkEnd w:id="904"/>
      <w:bookmarkEnd w:id="905"/>
      <w:bookmarkEnd w:id="906"/>
      <w:bookmarkEnd w:id="907"/>
      <w:bookmarkEnd w:id="908"/>
      <w:bookmarkEnd w:id="909"/>
    </w:p>
    <w:p w14:paraId="17ED31B8">
      <w:pPr>
        <w:pStyle w:val="42"/>
        <w:spacing w:before="156" w:after="156"/>
        <w:rPr>
          <w:color w:val="000000" w:themeColor="text1"/>
          <w14:textFill>
            <w14:solidFill>
              <w14:schemeClr w14:val="tx1"/>
            </w14:solidFill>
          </w14:textFill>
        </w:rPr>
      </w:pPr>
      <w:bookmarkStart w:id="910" w:name="_Toc314478372"/>
      <w:bookmarkStart w:id="911" w:name="_Toc316393927"/>
      <w:bookmarkStart w:id="912" w:name="_Toc303149783"/>
      <w:bookmarkStart w:id="913" w:name="_Toc303149817"/>
      <w:bookmarkStart w:id="914" w:name="_Toc309649096"/>
      <w:bookmarkStart w:id="915" w:name="_Toc240124588"/>
      <w:bookmarkStart w:id="916" w:name="_Toc314487177"/>
      <w:bookmarkStart w:id="917" w:name="_Toc303780194"/>
      <w:r>
        <w:rPr>
          <w:rFonts w:hint="eastAsia"/>
          <w:color w:val="000000" w:themeColor="text1"/>
          <w14:textFill>
            <w14:solidFill>
              <w14:schemeClr w14:val="tx1"/>
            </w14:solidFill>
          </w14:textFill>
        </w:rPr>
        <w:t>书面实施规程</w:t>
      </w:r>
      <w:bookmarkEnd w:id="910"/>
      <w:bookmarkEnd w:id="911"/>
      <w:bookmarkEnd w:id="912"/>
      <w:bookmarkEnd w:id="913"/>
      <w:bookmarkEnd w:id="914"/>
      <w:bookmarkEnd w:id="915"/>
      <w:bookmarkEnd w:id="916"/>
      <w:bookmarkEnd w:id="917"/>
    </w:p>
    <w:p w14:paraId="17ED31B9">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概述</w:t>
      </w:r>
    </w:p>
    <w:p w14:paraId="17ED31BA">
      <w:pPr>
        <w:pStyle w:val="24"/>
        <w:rPr>
          <w:color w:val="000000" w:themeColor="text1"/>
          <w14:textFill>
            <w14:solidFill>
              <w14:schemeClr w14:val="tx1"/>
            </w14:solidFill>
          </w14:textFill>
        </w:rPr>
      </w:pPr>
      <w:r>
        <w:rPr>
          <w:rFonts w:hint="eastAsia" w:ascii="Arial" w:hAnsi="Arial" w:cs="Arial"/>
          <w:color w:val="000000" w:themeColor="text1"/>
          <w:szCs w:val="21"/>
          <w:shd w:val="clear" w:color="auto" w:fill="FFFFFF"/>
          <w14:textFill>
            <w14:solidFill>
              <w14:schemeClr w14:val="tx1"/>
            </w14:solidFill>
          </w14:textFill>
        </w:rPr>
        <w:t>雇主应制定并维护符合本标准要求的</w:t>
      </w:r>
      <w:r>
        <w:rPr>
          <w:rFonts w:hAnsi="宋体"/>
          <w:color w:val="000000" w:themeColor="text1"/>
          <w:kern w:val="2"/>
          <w:szCs w:val="21"/>
          <w14:textFill>
            <w14:solidFill>
              <w14:schemeClr w14:val="tx1"/>
            </w14:solidFill>
          </w14:textFill>
        </w:rPr>
        <w:t>NDT</w:t>
      </w:r>
      <w:r>
        <w:rPr>
          <w:rFonts w:hint="eastAsia" w:hAnsi="宋体"/>
          <w:color w:val="000000" w:themeColor="text1"/>
          <w:kern w:val="2"/>
          <w:szCs w:val="21"/>
          <w14:textFill>
            <w14:solidFill>
              <w14:schemeClr w14:val="tx1"/>
            </w14:solidFill>
          </w14:textFill>
        </w:rPr>
        <w:t>人</w:t>
      </w:r>
      <w:r>
        <w:rPr>
          <w:rFonts w:hint="eastAsia" w:ascii="Arial" w:hAnsi="Arial" w:cs="Arial"/>
          <w:color w:val="000000" w:themeColor="text1"/>
          <w:szCs w:val="21"/>
          <w:shd w:val="clear" w:color="auto" w:fill="FFFFFF"/>
          <w14:textFill>
            <w14:solidFill>
              <w14:schemeClr w14:val="tx1"/>
            </w14:solidFill>
          </w14:textFill>
        </w:rPr>
        <w:t>员资格</w:t>
      </w:r>
      <w:r>
        <w:rPr>
          <w:rFonts w:ascii="Arial" w:hAnsi="Arial" w:cs="Arial"/>
          <w:color w:val="000000" w:themeColor="text1"/>
          <w:szCs w:val="21"/>
          <w:shd w:val="clear" w:color="auto" w:fill="FFFFFF"/>
          <w14:textFill>
            <w14:solidFill>
              <w14:schemeClr w14:val="tx1"/>
            </w14:solidFill>
          </w14:textFill>
        </w:rPr>
        <w:t>鉴定</w:t>
      </w:r>
      <w:r>
        <w:rPr>
          <w:rFonts w:hint="eastAsia" w:ascii="Arial" w:hAnsi="Arial" w:cs="Arial"/>
          <w:color w:val="000000" w:themeColor="text1"/>
          <w:szCs w:val="21"/>
          <w:shd w:val="clear" w:color="auto" w:fill="FFFFFF"/>
          <w14:textFill>
            <w14:solidFill>
              <w14:schemeClr w14:val="tx1"/>
            </w14:solidFill>
          </w14:textFill>
        </w:rPr>
        <w:t>和认证的书面实施规程</w:t>
      </w:r>
      <w:r>
        <w:rPr>
          <w:rFonts w:hint="eastAsia"/>
          <w:color w:val="000000" w:themeColor="text1"/>
          <w14:textFill>
            <w14:solidFill>
              <w14:schemeClr w14:val="tx1"/>
            </w14:solidFill>
          </w14:textFill>
        </w:rPr>
        <w:t>。</w:t>
      </w:r>
      <w:r>
        <w:rPr>
          <w:rFonts w:hint="eastAsia" w:hAnsi="Arial"/>
          <w:color w:val="000000" w:themeColor="text1"/>
          <w14:textFill>
            <w14:solidFill>
              <w14:schemeClr w14:val="tx1"/>
            </w14:solidFill>
          </w14:textFill>
        </w:rPr>
        <w:t>书面</w:t>
      </w:r>
      <w:r>
        <w:rPr>
          <w:rFonts w:hint="eastAsia"/>
          <w:color w:val="000000" w:themeColor="text1"/>
          <w14:textFill>
            <w14:solidFill>
              <w14:schemeClr w14:val="tx1"/>
            </w14:solidFill>
          </w14:textFill>
        </w:rPr>
        <w:t>实施规程应包括雇主实施NDT人员资格鉴定和认证程序的详细要求，应包括：</w:t>
      </w:r>
    </w:p>
    <w:p w14:paraId="17ED31BB">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雇主使用的资格鉴定和认证的等级；</w:t>
      </w:r>
    </w:p>
    <w:p w14:paraId="17ED31BC">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人员的职责和责任；</w:t>
      </w:r>
    </w:p>
    <w:p w14:paraId="17ED31BD">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培训和经历要求；</w:t>
      </w:r>
    </w:p>
    <w:p w14:paraId="17ED31BE">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认证和重新认证要求；</w:t>
      </w:r>
    </w:p>
    <w:p w14:paraId="17ED31BF">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记录和保存记录要求；</w:t>
      </w:r>
    </w:p>
    <w:p w14:paraId="17ED31C0">
      <w:pPr>
        <w:pStyle w:val="48"/>
        <w:rPr>
          <w:color w:val="000000" w:themeColor="text1"/>
          <w14:textFill>
            <w14:solidFill>
              <w14:schemeClr w14:val="tx1"/>
            </w14:solidFill>
          </w14:textFill>
        </w:rPr>
      </w:pPr>
      <w:r>
        <w:rPr>
          <w:color w:val="000000" w:themeColor="text1"/>
          <w14:textFill>
            <w14:solidFill>
              <w14:schemeClr w14:val="tx1"/>
            </w14:solidFill>
          </w14:textFill>
        </w:rPr>
        <w:t>年</w:t>
      </w:r>
      <w:r>
        <w:t>度</w:t>
      </w:r>
      <w:r>
        <w:rPr>
          <w:rFonts w:hint="eastAsia"/>
        </w:rPr>
        <w:t>技能评审</w:t>
      </w:r>
      <w:r>
        <w:t>程序；</w:t>
      </w:r>
    </w:p>
    <w:p w14:paraId="17ED31C1">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认证到期、中止、作废和恢复的要求。</w:t>
      </w:r>
    </w:p>
    <w:p w14:paraId="17ED31C2">
      <w:pPr>
        <w:pStyle w:val="24"/>
        <w:rPr>
          <w:color w:val="000000" w:themeColor="text1"/>
          <w14:textFill>
            <w14:solidFill>
              <w14:schemeClr w14:val="tx1"/>
            </w14:solidFill>
          </w14:textFill>
        </w:rPr>
      </w:pPr>
      <w:r>
        <w:rPr>
          <w:rFonts w:hint="eastAsia" w:hAnsi="Arial"/>
          <w:color w:val="000000" w:themeColor="text1"/>
          <w14:textFill>
            <w14:solidFill>
              <w14:schemeClr w14:val="tx1"/>
            </w14:solidFill>
          </w14:textFill>
        </w:rPr>
        <w:t>书面</w:t>
      </w:r>
      <w:r>
        <w:rPr>
          <w:rFonts w:hint="eastAsia"/>
          <w:color w:val="000000" w:themeColor="text1"/>
          <w14:textFill>
            <w14:solidFill>
              <w14:schemeClr w14:val="tx1"/>
            </w14:solidFill>
          </w14:textFill>
        </w:rPr>
        <w:t>实施规程应由责任3级人员批准。当雇主的客户和管理机构进行审查时，应可提供该</w:t>
      </w:r>
      <w:r>
        <w:rPr>
          <w:rFonts w:hint="eastAsia"/>
          <w:color w:val="0000FF"/>
        </w:rPr>
        <w:t>规程</w:t>
      </w:r>
      <w:r>
        <w:rPr>
          <w:rFonts w:hint="eastAsia"/>
          <w:color w:val="000000" w:themeColor="text1"/>
          <w14:textFill>
            <w14:solidFill>
              <w14:schemeClr w14:val="tx1"/>
            </w14:solidFill>
          </w14:textFill>
        </w:rPr>
        <w:t>。</w:t>
      </w:r>
    </w:p>
    <w:p w14:paraId="17ED31C3">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附加要求</w:t>
      </w:r>
    </w:p>
    <w:p w14:paraId="17ED31C4">
      <w:pPr>
        <w:pStyle w:val="24"/>
        <w:rPr>
          <w:color w:val="000000" w:themeColor="text1"/>
          <w14:textFill>
            <w14:solidFill>
              <w14:schemeClr w14:val="tx1"/>
            </w14:solidFill>
          </w14:textFill>
        </w:rPr>
      </w:pPr>
      <w:r>
        <w:rPr>
          <w:rFonts w:hint="eastAsia" w:hAnsi="Arial"/>
          <w:color w:val="000000" w:themeColor="text1"/>
          <w14:textFill>
            <w14:solidFill>
              <w14:schemeClr w14:val="tx1"/>
            </w14:solidFill>
          </w14:textFill>
        </w:rPr>
        <w:t>书面</w:t>
      </w:r>
      <w:r>
        <w:rPr>
          <w:rFonts w:hint="eastAsia"/>
          <w:color w:val="000000" w:themeColor="text1"/>
          <w14:textFill>
            <w14:solidFill>
              <w14:schemeClr w14:val="tx1"/>
            </w14:solidFill>
          </w14:textFill>
        </w:rPr>
        <w:t>实施规程应包括雇主或认可的工程机构提出的任何附加的要求，如附加认证等级要求或增加经历要求等。</w:t>
      </w:r>
    </w:p>
    <w:p w14:paraId="17ED31C5">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NDT技术</w:t>
      </w:r>
    </w:p>
    <w:p w14:paraId="17ED31C6">
      <w:pPr>
        <w:pStyle w:val="24"/>
        <w:rPr>
          <w:color w:val="0000FF"/>
          <w:szCs w:val="21"/>
        </w:rPr>
      </w:pPr>
      <w:r>
        <w:rPr>
          <w:rFonts w:hint="eastAsia"/>
          <w:color w:val="000000" w:themeColor="text1"/>
          <w:szCs w:val="21"/>
          <w14:textFill>
            <w14:solidFill>
              <w14:schemeClr w14:val="tx1"/>
            </w14:solidFill>
          </w14:textFill>
        </w:rPr>
        <w:t>书面实施规程中应包括雇主每种检测方法中的具体检测技术，</w:t>
      </w:r>
      <w:bookmarkStart w:id="918" w:name="_Hlk493008330"/>
      <w:r>
        <w:rPr>
          <w:rFonts w:hint="eastAsia"/>
          <w:color w:val="0000FF"/>
          <w:szCs w:val="21"/>
        </w:rPr>
        <w:t>涉及附加培训和经历时应采取的行动，以及对已认证人员附加技术时的</w:t>
      </w:r>
      <w:bookmarkEnd w:id="918"/>
      <w:r>
        <w:rPr>
          <w:rFonts w:hint="eastAsia" w:ascii="Arial" w:hAnsi="Arial" w:cs="Arial"/>
          <w:color w:val="0000FF"/>
          <w:szCs w:val="21"/>
          <w:shd w:val="clear" w:color="auto" w:fill="FFFFFF"/>
        </w:rPr>
        <w:t>书面和实际操作考试要求</w:t>
      </w:r>
      <w:r>
        <w:rPr>
          <w:rFonts w:hint="eastAsia"/>
          <w:color w:val="0000FF"/>
          <w:szCs w:val="21"/>
        </w:rPr>
        <w:t>。</w:t>
      </w:r>
    </w:p>
    <w:p w14:paraId="17ED31C7">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培训大纲</w:t>
      </w:r>
    </w:p>
    <w:p w14:paraId="17ED31C8">
      <w:pPr>
        <w:pStyle w:val="24"/>
        <w:rPr>
          <w:color w:val="000000" w:themeColor="text1"/>
          <w14:textFill>
            <w14:solidFill>
              <w14:schemeClr w14:val="tx1"/>
            </w14:solidFill>
          </w14:textFill>
        </w:rPr>
      </w:pPr>
      <w:r>
        <w:rPr>
          <w:rFonts w:hint="eastAsia" w:hAnsi="Arial"/>
          <w:color w:val="000000" w:themeColor="text1"/>
          <w14:textFill>
            <w14:solidFill>
              <w14:schemeClr w14:val="tx1"/>
            </w14:solidFill>
          </w14:textFill>
        </w:rPr>
        <w:t>书面</w:t>
      </w:r>
      <w:r>
        <w:rPr>
          <w:rFonts w:hint="eastAsia"/>
          <w:color w:val="000000" w:themeColor="text1"/>
          <w14:textFill>
            <w14:solidFill>
              <w14:schemeClr w14:val="tx1"/>
            </w14:solidFill>
          </w14:textFill>
        </w:rPr>
        <w:t>实施规程应参考或包括雇主使用的培训大纲。如果由</w:t>
      </w:r>
      <w:r>
        <w:rPr>
          <w:rFonts w:hint="eastAsia"/>
          <w:color w:val="0000FF"/>
        </w:rPr>
        <w:t>外界代理</w:t>
      </w:r>
      <w:r>
        <w:rPr>
          <w:rFonts w:hint="eastAsia"/>
          <w:color w:val="000000" w:themeColor="text1"/>
          <w14:textFill>
            <w14:solidFill>
              <w14:schemeClr w14:val="tx1"/>
            </w14:solidFill>
          </w14:textFill>
        </w:rPr>
        <w:t>提供培训，应由责任3级人员确认该培训满足雇主的要求。</w:t>
      </w:r>
    </w:p>
    <w:p w14:paraId="17ED31C9">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考试程序</w:t>
      </w:r>
    </w:p>
    <w:p w14:paraId="17ED31CA">
      <w:pPr>
        <w:pStyle w:val="24"/>
        <w:rPr>
          <w:color w:val="0000FF"/>
        </w:rPr>
      </w:pPr>
      <w:r>
        <w:rPr>
          <w:rFonts w:hint="eastAsia" w:hAnsi="Arial"/>
          <w:color w:val="0000FF"/>
        </w:rPr>
        <w:t>书面</w:t>
      </w:r>
      <w:r>
        <w:rPr>
          <w:rFonts w:hint="eastAsia"/>
          <w:color w:val="0000FF"/>
        </w:rPr>
        <w:t>实施规程应指定负责考试管理的人员或机构、考题数量、视力检查方法</w:t>
      </w:r>
      <w:r>
        <w:rPr>
          <w:rFonts w:hint="eastAsia" w:hAnsi="宋体"/>
          <w:color w:val="0000FF"/>
        </w:rPr>
        <w:t>，</w:t>
      </w:r>
      <w:r>
        <w:rPr>
          <w:rFonts w:hint="eastAsia" w:hAnsi="Arial"/>
          <w:color w:val="0000FF"/>
        </w:rPr>
        <w:t>如有要求，重新认证的通用考试也应规定在</w:t>
      </w:r>
      <w:r>
        <w:rPr>
          <w:rFonts w:hint="eastAsia"/>
          <w:color w:val="0000FF"/>
        </w:rPr>
        <w:t>实施规程</w:t>
      </w:r>
      <w:r>
        <w:rPr>
          <w:rFonts w:hint="eastAsia" w:hAnsi="Arial"/>
          <w:color w:val="0000FF"/>
        </w:rPr>
        <w:t>中。</w:t>
      </w:r>
    </w:p>
    <w:p w14:paraId="17ED31CB">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管理</w:t>
      </w:r>
    </w:p>
    <w:p w14:paraId="17ED31CC">
      <w:pPr>
        <w:pStyle w:val="24"/>
        <w:rPr>
          <w:color w:val="000000" w:themeColor="text1"/>
          <w14:textFill>
            <w14:solidFill>
              <w14:schemeClr w14:val="tx1"/>
            </w14:solidFill>
          </w14:textFill>
        </w:rPr>
      </w:pPr>
      <w:r>
        <w:rPr>
          <w:rFonts w:hint="eastAsia" w:hAnsi="Arial"/>
          <w:color w:val="000000" w:themeColor="text1"/>
          <w14:textFill>
            <w14:solidFill>
              <w14:schemeClr w14:val="tx1"/>
            </w14:solidFill>
          </w14:textFill>
        </w:rPr>
        <w:t>书面</w:t>
      </w:r>
      <w:r>
        <w:rPr>
          <w:rFonts w:hint="eastAsia"/>
          <w:color w:val="000000" w:themeColor="text1"/>
          <w14:textFill>
            <w14:solidFill>
              <w14:schemeClr w14:val="tx1"/>
            </w14:solidFill>
          </w14:textFill>
        </w:rPr>
        <w:t>实施规程中应指定负责管理和维护雇主的全部或部分认证程序的人员或机构。</w:t>
      </w:r>
    </w:p>
    <w:p w14:paraId="17ED31CD">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记录</w:t>
      </w:r>
    </w:p>
    <w:p w14:paraId="4F936B3D">
      <w:pPr>
        <w:pStyle w:val="24"/>
        <w:rPr>
          <w:color w:val="000000" w:themeColor="text1"/>
          <w14:textFill>
            <w14:solidFill>
              <w14:schemeClr w14:val="tx1"/>
            </w14:solidFill>
          </w14:textFill>
        </w:rPr>
      </w:pPr>
      <w:r>
        <w:rPr>
          <w:rFonts w:hint="eastAsia" w:hAnsi="Arial"/>
          <w:color w:val="0000FF"/>
        </w:rPr>
        <w:t>书面</w:t>
      </w:r>
      <w:r>
        <w:rPr>
          <w:rFonts w:hint="eastAsia"/>
          <w:color w:val="0000FF"/>
        </w:rPr>
        <w:t>实施规程中应指定负责维护资格鉴定和认证记录的人员或机构以及记录保存位置</w:t>
      </w:r>
      <w:r>
        <w:rPr>
          <w:rFonts w:hint="eastAsia"/>
          <w:color w:val="000000" w:themeColor="text1"/>
          <w14:textFill>
            <w14:solidFill>
              <w14:schemeClr w14:val="tx1"/>
            </w14:solidFill>
          </w14:textFill>
        </w:rPr>
        <w:t>。</w:t>
      </w:r>
    </w:p>
    <w:p w14:paraId="17ED31CF">
      <w:pPr>
        <w:pStyle w:val="42"/>
        <w:spacing w:before="156" w:after="156"/>
        <w:rPr>
          <w:color w:val="000000" w:themeColor="text1"/>
          <w14:textFill>
            <w14:solidFill>
              <w14:schemeClr w14:val="tx1"/>
            </w14:solidFill>
          </w14:textFill>
        </w:rPr>
      </w:pPr>
      <w:bookmarkStart w:id="919" w:name="_Toc303149784"/>
      <w:bookmarkStart w:id="920" w:name="_Toc316393928"/>
      <w:bookmarkStart w:id="921" w:name="_Toc314487178"/>
      <w:bookmarkStart w:id="922" w:name="_Toc303149818"/>
      <w:bookmarkStart w:id="923" w:name="_Toc309649097"/>
      <w:bookmarkStart w:id="924" w:name="_Toc303780195"/>
      <w:bookmarkStart w:id="925" w:name="_Toc240124589"/>
      <w:bookmarkStart w:id="926" w:name="_Toc314478373"/>
      <w:r>
        <w:rPr>
          <w:rFonts w:hint="eastAsia"/>
          <w:color w:val="000000" w:themeColor="text1"/>
          <w14:textFill>
            <w14:solidFill>
              <w14:schemeClr w14:val="tx1"/>
            </w14:solidFill>
          </w14:textFill>
        </w:rPr>
        <w:t>方法</w:t>
      </w:r>
      <w:bookmarkEnd w:id="919"/>
      <w:bookmarkEnd w:id="920"/>
      <w:bookmarkEnd w:id="921"/>
      <w:bookmarkEnd w:id="922"/>
      <w:bookmarkEnd w:id="923"/>
      <w:bookmarkEnd w:id="924"/>
      <w:bookmarkEnd w:id="925"/>
      <w:bookmarkEnd w:id="926"/>
    </w:p>
    <w:p w14:paraId="17ED31D0">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从事渗透、磁粉、涡流、超声、射线照相和红外热</w:t>
      </w:r>
      <w:r>
        <w:rPr>
          <w:rFonts w:hint="eastAsia"/>
          <w:color w:val="0000FF"/>
        </w:rPr>
        <w:t>成</w:t>
      </w:r>
      <w:r>
        <w:rPr>
          <w:rFonts w:hint="eastAsia"/>
          <w:color w:val="000000" w:themeColor="text1"/>
          <w14:textFill>
            <w14:solidFill>
              <w14:schemeClr w14:val="tx1"/>
            </w14:solidFill>
          </w14:textFill>
        </w:rPr>
        <w:t>像等检测人员的培训、经历以及考试的最低要求见</w:t>
      </w:r>
      <w:r>
        <w:rPr>
          <w:color w:val="000000" w:themeColor="text1"/>
          <w14:textFill>
            <w14:solidFill>
              <w14:schemeClr w14:val="tx1"/>
            </w14:solidFill>
          </w14:textFill>
        </w:rPr>
        <w:t>第</w:t>
      </w:r>
      <w:r>
        <w:rPr>
          <w:rFonts w:hint="eastAsia"/>
          <w:color w:val="000000" w:themeColor="text1"/>
          <w14:textFill>
            <w14:solidFill>
              <w14:schemeClr w14:val="tx1"/>
            </w14:solidFill>
          </w14:textFill>
        </w:rPr>
        <w:t>6章</w:t>
      </w:r>
      <w:r>
        <w:rPr>
          <w:color w:val="000000" w:themeColor="text1"/>
          <w14:textFill>
            <w14:solidFill>
              <w14:schemeClr w14:val="tx1"/>
            </w14:solidFill>
          </w14:textFill>
        </w:rPr>
        <w:t>和第</w:t>
      </w:r>
      <w:r>
        <w:rPr>
          <w:rFonts w:hint="eastAsia"/>
          <w:color w:val="000000" w:themeColor="text1"/>
          <w14:textFill>
            <w14:solidFill>
              <w14:schemeClr w14:val="tx1"/>
            </w14:solidFill>
          </w14:textFill>
        </w:rPr>
        <w:t>7章。这些要求也可以作为上述方法以外的其他方法参考。</w:t>
      </w:r>
    </w:p>
    <w:p w14:paraId="149ADD7C">
      <w:pPr>
        <w:pStyle w:val="24"/>
        <w:rPr>
          <w:color w:val="000000" w:themeColor="text1"/>
          <w14:textFill>
            <w14:solidFill>
              <w14:schemeClr w14:val="tx1"/>
            </w14:solidFill>
          </w14:textFill>
        </w:rPr>
      </w:pPr>
    </w:p>
    <w:p w14:paraId="01D36DA5">
      <w:pPr>
        <w:pStyle w:val="42"/>
        <w:spacing w:before="156" w:after="156"/>
        <w:rPr>
          <w:color w:val="000000" w:themeColor="text1"/>
          <w14:textFill>
            <w14:solidFill>
              <w14:schemeClr w14:val="tx1"/>
            </w14:solidFill>
          </w14:textFill>
        </w:rPr>
      </w:pPr>
      <w:bookmarkStart w:id="927" w:name="_Toc240124590"/>
      <w:bookmarkStart w:id="928" w:name="_Toc314487179"/>
      <w:bookmarkStart w:id="929" w:name="_Toc303149785"/>
      <w:bookmarkStart w:id="930" w:name="_Toc303780196"/>
      <w:bookmarkStart w:id="931" w:name="_Toc314478374"/>
      <w:bookmarkStart w:id="932" w:name="_Toc303069589"/>
      <w:bookmarkStart w:id="933" w:name="_Toc309649098"/>
      <w:bookmarkStart w:id="934" w:name="_Toc316393929"/>
      <w:bookmarkStart w:id="935" w:name="_Toc303149819"/>
      <w:r>
        <w:rPr>
          <w:rFonts w:hint="eastAsia"/>
          <w:color w:val="000000" w:themeColor="text1"/>
          <w14:textFill>
            <w14:solidFill>
              <w14:schemeClr w14:val="tx1"/>
            </w14:solidFill>
          </w14:textFill>
        </w:rPr>
        <w:t>职责</w:t>
      </w:r>
      <w:bookmarkEnd w:id="927"/>
    </w:p>
    <w:p w14:paraId="65393383">
      <w:pPr>
        <w:pStyle w:val="46"/>
        <w:spacing w:before="156" w:after="156"/>
        <w:ind w:left="0"/>
        <w:rPr>
          <w:color w:val="0000FF"/>
        </w:rPr>
      </w:pPr>
      <w:r>
        <w:rPr>
          <w:rFonts w:hint="eastAsia"/>
          <w:color w:val="0000FF"/>
        </w:rPr>
        <w:t>概述</w:t>
      </w:r>
    </w:p>
    <w:p w14:paraId="47F495CA">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雇主应负责贯彻和遵守本标准并负责对被鉴定合格人员进行资格认证。此外，主承包商应对供应商和分包商遵循本标准负责。委托外界代理的雇主应对保证满足本标准相应的要求负责。雇主只能对其雇员进行资格认证，不能对其他雇主的人员进行资格认证。个人不能对其本人进行资格鉴定。如果个体经营者具备书面</w:t>
      </w:r>
      <w:r>
        <w:rPr>
          <w:rFonts w:hint="eastAsia"/>
          <w:color w:val="0000FF"/>
        </w:rPr>
        <w:t>实施</w:t>
      </w:r>
      <w:r>
        <w:rPr>
          <w:rFonts w:hint="eastAsia"/>
          <w:color w:val="000000" w:themeColor="text1"/>
          <w14:textFill>
            <w14:solidFill>
              <w14:schemeClr w14:val="tx1"/>
            </w14:solidFill>
          </w14:textFill>
        </w:rPr>
        <w:t>规程且已被其他按本标准认证的3级人员鉴定为符合本标准的要求，则其可进行自我认证。</w:t>
      </w:r>
    </w:p>
    <w:p w14:paraId="60B21C5C">
      <w:pPr>
        <w:pStyle w:val="46"/>
        <w:spacing w:before="156" w:after="156"/>
        <w:ind w:left="0"/>
        <w:rPr>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中国民用航空维修协会无损检测人员资格鉴定专业委员会</w:t>
      </w:r>
    </w:p>
    <w:p w14:paraId="6F2CE242">
      <w:pPr>
        <w:pStyle w:val="24"/>
      </w:pPr>
      <w:r>
        <w:rPr>
          <w:rFonts w:hint="eastAsia"/>
          <w:lang w:eastAsia="zh-CN"/>
        </w:rPr>
        <w:t>中国民用航空维修协会无损检测人员资格鉴定专业委员会</w:t>
      </w:r>
      <w:r>
        <w:t>应根据本标准提供或支持无损检测人员资格鉴定和考试服务</w:t>
      </w:r>
      <w:r>
        <w:rPr>
          <w:rFonts w:hint="eastAsia"/>
        </w:rPr>
        <w:t>。</w:t>
      </w:r>
    </w:p>
    <w:p w14:paraId="7B7F5CE8">
      <w:pPr>
        <w:pStyle w:val="24"/>
      </w:pPr>
      <w:r>
        <w:t>责任3级人员可委托</w:t>
      </w:r>
      <w:r>
        <w:rPr>
          <w:rFonts w:hint="eastAsia"/>
          <w:lang w:eastAsia="zh-CN"/>
        </w:rPr>
        <w:t>中国民用航空维修协会无损检测人员资格鉴定专业委员会</w:t>
      </w:r>
      <w:r>
        <w:t>进行：</w:t>
      </w:r>
    </w:p>
    <w:p w14:paraId="4C0A141D">
      <w:pPr>
        <w:pStyle w:val="24"/>
        <w:numPr>
          <w:ilvl w:val="0"/>
          <w:numId w:val="13"/>
        </w:numPr>
        <w:ind w:firstLineChars="0"/>
      </w:pPr>
      <w:r>
        <w:t>编写培训大纲和培训教材；</w:t>
      </w:r>
    </w:p>
    <w:p w14:paraId="56BB88AE">
      <w:pPr>
        <w:pStyle w:val="24"/>
        <w:numPr>
          <w:ilvl w:val="0"/>
          <w:numId w:val="13"/>
        </w:numPr>
        <w:ind w:firstLineChars="0"/>
      </w:pPr>
      <w:r>
        <w:t>建立考试题库和管理考试；</w:t>
      </w:r>
    </w:p>
    <w:p w14:paraId="3FAF12B1">
      <w:pPr>
        <w:pStyle w:val="24"/>
        <w:numPr>
          <w:ilvl w:val="0"/>
          <w:numId w:val="13"/>
        </w:numPr>
        <w:ind w:firstLineChars="0"/>
      </w:pPr>
      <w:r>
        <w:t>批准提供培训和考试服务的培训机构；</w:t>
      </w:r>
    </w:p>
    <w:p w14:paraId="20D2324A">
      <w:pPr>
        <w:pStyle w:val="24"/>
        <w:numPr>
          <w:ilvl w:val="0"/>
          <w:numId w:val="13"/>
        </w:numPr>
        <w:ind w:firstLineChars="0"/>
      </w:pPr>
      <w:r>
        <w:t>规定</w:t>
      </w:r>
      <w:r>
        <w:rPr>
          <w:rFonts w:hint="eastAsia"/>
          <w:color w:val="0000FF"/>
        </w:rPr>
        <w:t>其它</w:t>
      </w:r>
      <w:r>
        <w:t>无损检测方法人员资格鉴定要求；</w:t>
      </w:r>
    </w:p>
    <w:p w14:paraId="6A3F96DB">
      <w:pPr>
        <w:pStyle w:val="24"/>
        <w:numPr>
          <w:ilvl w:val="0"/>
          <w:numId w:val="13"/>
        </w:numPr>
        <w:ind w:firstLineChars="0"/>
      </w:pPr>
      <w:r>
        <w:t>保存笔试和实操考试记录；</w:t>
      </w:r>
    </w:p>
    <w:p w14:paraId="472A6E0D">
      <w:pPr>
        <w:pStyle w:val="24"/>
        <w:numPr>
          <w:ilvl w:val="0"/>
          <w:numId w:val="13"/>
        </w:numPr>
        <w:ind w:firstLineChars="0"/>
      </w:pPr>
      <w:r>
        <w:t>在提供培训和考试服务时指定主考人和教员。</w:t>
      </w:r>
    </w:p>
    <w:p w14:paraId="1C6C8665">
      <w:pPr>
        <w:pStyle w:val="24"/>
      </w:pPr>
      <w:r>
        <w:t>若由</w:t>
      </w:r>
      <w:r>
        <w:rPr>
          <w:rFonts w:hint="eastAsia"/>
          <w:lang w:eastAsia="zh-CN"/>
        </w:rPr>
        <w:t>中国民用航空维修协会无损检测人员资格鉴定专业委员会</w:t>
      </w:r>
      <w:r>
        <w:t>提供服务时，应制定满足本标准要求的程序文件，</w:t>
      </w:r>
      <w:r>
        <w:rPr>
          <w:rFonts w:hint="eastAsia"/>
          <w:lang w:eastAsia="zh-CN"/>
        </w:rPr>
        <w:t>中国民用航空维修协会无损检测人员资格鉴定专业委员会</w:t>
      </w:r>
      <w:r>
        <w:t>的活动、流程、程序、技术类别等内容应提供给主承包商和适航管理部门审查。</w:t>
      </w:r>
    </w:p>
    <w:p w14:paraId="5BFE845B">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责任3级人员</w:t>
      </w:r>
    </w:p>
    <w:p w14:paraId="63D19982">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雇主应以书面形式任命一名“责任3级人员”</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代表</w:t>
      </w:r>
      <w:r>
        <w:rPr>
          <w:color w:val="000000" w:themeColor="text1"/>
          <w14:textFill>
            <w14:solidFill>
              <w14:schemeClr w14:val="tx1"/>
            </w14:solidFill>
          </w14:textFill>
        </w:rPr>
        <w:t>其实施无损检测资格鉴定和认证过程的相关事宜</w:t>
      </w:r>
      <w:r>
        <w:rPr>
          <w:rFonts w:hint="eastAsia"/>
          <w:color w:val="000000" w:themeColor="text1"/>
          <w14:textFill>
            <w14:solidFill>
              <w14:schemeClr w14:val="tx1"/>
            </w14:solidFill>
          </w14:textFill>
        </w:rPr>
        <w:t>。责任3级人员应是：</w:t>
      </w:r>
    </w:p>
    <w:p w14:paraId="4101BEBB">
      <w:pPr>
        <w:pStyle w:val="24"/>
        <w:numPr>
          <w:ilvl w:val="0"/>
          <w:numId w:val="14"/>
        </w:numPr>
        <w:ind w:firstLineChars="0"/>
      </w:pPr>
      <w:r>
        <w:rPr>
          <w:rFonts w:hint="eastAsia"/>
          <w:color w:val="000000" w:themeColor="text1"/>
          <w14:textFill>
            <w14:solidFill>
              <w14:schemeClr w14:val="tx1"/>
            </w14:solidFill>
          </w14:textFill>
        </w:rPr>
        <w:t>按本标准认证的一种或多种方法的3级人员；</w:t>
      </w:r>
    </w:p>
    <w:p w14:paraId="76EDD32B">
      <w:pPr>
        <w:pStyle w:val="24"/>
        <w:numPr>
          <w:ilvl w:val="0"/>
          <w:numId w:val="14"/>
        </w:numPr>
        <w:ind w:firstLineChars="0"/>
      </w:pPr>
      <w:r>
        <w:rPr>
          <w:rFonts w:hint="eastAsia"/>
          <w:color w:val="000000" w:themeColor="text1"/>
          <w14:textFill>
            <w14:solidFill>
              <w14:schemeClr w14:val="tx1"/>
            </w14:solidFill>
          </w14:textFill>
        </w:rPr>
        <w:t>全面熟悉雇主所使用的工艺规程、法规、规范和标准。</w:t>
      </w:r>
    </w:p>
    <w:p w14:paraId="07D02FFA">
      <w:pPr>
        <w:pStyle w:val="24"/>
        <w:numPr>
          <w:ilvl w:val="0"/>
          <w:numId w:val="14"/>
        </w:numPr>
        <w:ind w:firstLineChars="0"/>
      </w:pPr>
      <w:r>
        <w:rPr>
          <w:rFonts w:hint="eastAsia"/>
          <w:color w:val="000000" w:themeColor="text1"/>
          <w14:textFill>
            <w14:solidFill>
              <w14:schemeClr w14:val="tx1"/>
            </w14:solidFill>
          </w14:textFill>
        </w:rPr>
        <w:t>全面了解雇主使用的材料、零件、生产技术、NDT方法和NDT技术；</w:t>
      </w:r>
    </w:p>
    <w:p w14:paraId="3BFF8237">
      <w:pPr>
        <w:pStyle w:val="24"/>
        <w:numPr>
          <w:ilvl w:val="0"/>
          <w:numId w:val="14"/>
        </w:numPr>
        <w:ind w:firstLineChars="0"/>
      </w:pPr>
      <w:r>
        <w:rPr>
          <w:rFonts w:hint="eastAsia"/>
          <w:color w:val="0000FF"/>
        </w:rPr>
        <w:t>全面控制与管理无损检测培训及考试项目，包括指定或批准合格的主考人、教员及外界代理。</w:t>
      </w:r>
    </w:p>
    <w:p w14:paraId="6858F1D8">
      <w:pPr>
        <w:pStyle w:val="24"/>
        <w:ind w:firstLineChars="0"/>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为覆盖雇主使用的所有方法，</w:t>
      </w:r>
      <w:r>
        <w:rPr>
          <w:rFonts w:hint="eastAsia"/>
          <w:color w:val="0000FF"/>
        </w:rPr>
        <w:t>必要时可以书面形式指派符合本标准要求的主考人履行职责</w:t>
      </w:r>
      <w:r>
        <w:rPr>
          <w:rFonts w:hint="eastAsia"/>
          <w:color w:val="000000" w:themeColor="text1"/>
          <w14:textFill>
            <w14:solidFill>
              <w14:schemeClr w14:val="tx1"/>
            </w14:solidFill>
          </w14:textFill>
        </w:rPr>
        <w:t>。责任3级人员可以是外界代理，但在这种情况下，仅能对人员进行资格鉴定，</w:t>
      </w:r>
      <w:r>
        <w:rPr>
          <w:rFonts w:hint="eastAsia"/>
          <w:color w:val="000000" w:themeColor="text1"/>
          <w:szCs w:val="21"/>
          <w14:textFill>
            <w14:solidFill>
              <w14:schemeClr w14:val="tx1"/>
            </w14:solidFill>
          </w14:textFill>
        </w:rPr>
        <w:t>人员的认证只能由雇主负责。责任</w:t>
      </w:r>
      <w:r>
        <w:rPr>
          <w:color w:val="000000" w:themeColor="text1"/>
          <w:szCs w:val="21"/>
          <w14:textFill>
            <w14:solidFill>
              <w14:schemeClr w14:val="tx1"/>
            </w14:solidFill>
          </w14:textFill>
        </w:rPr>
        <w:t>3</w:t>
      </w:r>
      <w:r>
        <w:rPr>
          <w:rFonts w:hint="eastAsia"/>
          <w:color w:val="000000" w:themeColor="text1"/>
          <w:szCs w:val="21"/>
          <w14:textFill>
            <w14:solidFill>
              <w14:schemeClr w14:val="tx1"/>
            </w14:solidFill>
          </w14:textFill>
        </w:rPr>
        <w:t>级人员负责执行本标准并全面负责人员资格鉴定和认证工作。</w:t>
      </w:r>
    </w:p>
    <w:p w14:paraId="359B60A2">
      <w:pPr>
        <w:pStyle w:val="46"/>
        <w:spacing w:before="156" w:after="156"/>
        <w:ind w:left="0"/>
      </w:pPr>
      <w:r>
        <w:rPr>
          <w:rFonts w:hint="eastAsia"/>
        </w:rPr>
        <w:t>外界代理</w:t>
      </w:r>
    </w:p>
    <w:p w14:paraId="12DEA210">
      <w:pPr>
        <w:pStyle w:val="24"/>
        <w:rPr>
          <w:color w:val="000000" w:themeColor="text1"/>
          <w14:textFill>
            <w14:solidFill>
              <w14:schemeClr w14:val="tx1"/>
            </w14:solidFill>
          </w14:textFill>
        </w:rPr>
      </w:pPr>
      <w:r>
        <w:rPr>
          <w:rFonts w:hint="eastAsia" w:ascii="Arial" w:hAnsi="Arial" w:cs="Arial"/>
          <w:color w:val="000000" w:themeColor="text1"/>
          <w14:textFill>
            <w14:solidFill>
              <w14:schemeClr w14:val="tx1"/>
            </w14:solidFill>
          </w14:textFill>
        </w:rPr>
        <w:t>雇主可以委托按本标准认证的来自外界代</w:t>
      </w:r>
      <w:r>
        <w:rPr>
          <w:rFonts w:hint="eastAsia" w:cs="Arial" w:asciiTheme="minorEastAsia" w:hAnsiTheme="minorEastAsia" w:eastAsiaTheme="minorEastAsia"/>
          <w:color w:val="000000" w:themeColor="text1"/>
          <w14:textFill>
            <w14:solidFill>
              <w14:schemeClr w14:val="tx1"/>
            </w14:solidFill>
          </w14:textFill>
        </w:rPr>
        <w:t>理的</w:t>
      </w:r>
      <w:r>
        <w:rPr>
          <w:rFonts w:cs="Arial" w:asciiTheme="minorEastAsia" w:hAnsiTheme="minorEastAsia" w:eastAsiaTheme="minorEastAsia"/>
          <w:color w:val="000000" w:themeColor="text1"/>
          <w14:textFill>
            <w14:solidFill>
              <w14:schemeClr w14:val="tx1"/>
            </w14:solidFill>
          </w14:textFill>
        </w:rPr>
        <w:t>3</w:t>
      </w:r>
      <w:r>
        <w:rPr>
          <w:rFonts w:hint="eastAsia" w:cs="Arial" w:asciiTheme="minorEastAsia" w:hAnsiTheme="minorEastAsia" w:eastAsiaTheme="minorEastAsia"/>
          <w:color w:val="000000" w:themeColor="text1"/>
          <w14:textFill>
            <w14:solidFill>
              <w14:schemeClr w14:val="tx1"/>
            </w14:solidFill>
          </w14:textFill>
        </w:rPr>
        <w:t>级人员作为责任</w:t>
      </w:r>
      <w:r>
        <w:rPr>
          <w:rFonts w:cs="Arial" w:asciiTheme="minorEastAsia" w:hAnsiTheme="minorEastAsia" w:eastAsiaTheme="minorEastAsia"/>
          <w:color w:val="000000" w:themeColor="text1"/>
          <w14:textFill>
            <w14:solidFill>
              <w14:schemeClr w14:val="tx1"/>
            </w14:solidFill>
          </w14:textFill>
        </w:rPr>
        <w:t>3</w:t>
      </w:r>
      <w:r>
        <w:rPr>
          <w:rFonts w:hint="eastAsia" w:cs="Arial" w:asciiTheme="minorEastAsia" w:hAnsiTheme="minorEastAsia" w:eastAsiaTheme="minorEastAsia"/>
          <w:color w:val="000000" w:themeColor="text1"/>
          <w14:textFill>
            <w14:solidFill>
              <w14:schemeClr w14:val="tx1"/>
            </w14:solidFill>
          </w14:textFill>
        </w:rPr>
        <w:t>级人员，制定认证程序、对</w:t>
      </w:r>
      <w:r>
        <w:rPr>
          <w:rFonts w:cs="Arial" w:asciiTheme="minorEastAsia" w:hAnsiTheme="minorEastAsia" w:eastAsiaTheme="minorEastAsia"/>
          <w:color w:val="000000" w:themeColor="text1"/>
          <w14:textFill>
            <w14:solidFill>
              <w14:schemeClr w14:val="tx1"/>
            </w14:solidFill>
          </w14:textFill>
        </w:rPr>
        <w:t>NDT</w:t>
      </w:r>
      <w:r>
        <w:rPr>
          <w:rFonts w:hint="eastAsia" w:cs="Arial" w:asciiTheme="minorEastAsia" w:hAnsiTheme="minorEastAsia" w:eastAsiaTheme="minorEastAsia"/>
          <w:color w:val="000000" w:themeColor="text1"/>
          <w14:textFill>
            <w14:solidFill>
              <w14:schemeClr w14:val="tx1"/>
            </w14:solidFill>
          </w14:textFill>
        </w:rPr>
        <w:t>人员进行考试、</w:t>
      </w:r>
      <w:r>
        <w:rPr>
          <w:rFonts w:hint="eastAsia" w:cs="Arial" w:asciiTheme="minorEastAsia" w:hAnsiTheme="minorEastAsia" w:eastAsiaTheme="minorEastAsia"/>
          <w:color w:val="0000FF"/>
        </w:rPr>
        <w:t>实施其他鉴定或者3级人员的职责</w:t>
      </w:r>
      <w:r>
        <w:rPr>
          <w:rFonts w:hint="eastAsia" w:cs="Arial" w:asciiTheme="minorEastAsia" w:hAnsiTheme="minorEastAsia" w:eastAsiaTheme="minorEastAsia"/>
          <w:color w:val="000000" w:themeColor="text1"/>
          <w14:textFill>
            <w14:solidFill>
              <w14:schemeClr w14:val="tx1"/>
            </w14:solidFill>
          </w14:textFill>
        </w:rPr>
        <w:t>。</w:t>
      </w:r>
      <w:r>
        <w:rPr>
          <w:rFonts w:hint="eastAsia" w:asciiTheme="minorEastAsia" w:hAnsiTheme="minorEastAsia" w:eastAsiaTheme="minorEastAsia"/>
          <w:color w:val="000000" w:themeColor="text1"/>
          <w14:textFill>
            <w14:solidFill>
              <w14:schemeClr w14:val="tx1"/>
            </w14:solidFill>
          </w14:textFill>
        </w:rPr>
        <w:t>外</w:t>
      </w:r>
      <w:r>
        <w:rPr>
          <w:rFonts w:hint="eastAsia"/>
          <w:color w:val="000000" w:themeColor="text1"/>
          <w14:textFill>
            <w14:solidFill>
              <w14:schemeClr w14:val="tx1"/>
            </w14:solidFill>
          </w14:textFill>
        </w:rPr>
        <w:t>界代理可以对人员进行资格鉴定，但不能进行人员认证。雇主选择为其履行本标准要求的任何职能的任何外界代理时，应对该外界代理履行职能的符合性进行备案。该备案应</w:t>
      </w:r>
      <w:r>
        <w:rPr>
          <w:rFonts w:hint="eastAsia" w:ascii="Arial" w:hAnsi="Arial" w:cs="Arial"/>
          <w:color w:val="000000" w:themeColor="text1"/>
          <w14:textFill>
            <w14:solidFill>
              <w14:schemeClr w14:val="tx1"/>
            </w14:solidFill>
          </w14:textFill>
        </w:rPr>
        <w:t>足够的</w:t>
      </w:r>
      <w:r>
        <w:rPr>
          <w:rFonts w:hint="eastAsia"/>
          <w:color w:val="000000" w:themeColor="text1"/>
          <w14:textFill>
            <w14:solidFill>
              <w14:schemeClr w14:val="tx1"/>
            </w14:solidFill>
          </w14:textFill>
        </w:rPr>
        <w:t>详细，以证明</w:t>
      </w:r>
      <w:r>
        <w:rPr>
          <w:rFonts w:hint="eastAsia"/>
          <w:color w:val="0000FF"/>
        </w:rPr>
        <w:t>外界代理</w:t>
      </w:r>
      <w:r>
        <w:rPr>
          <w:rFonts w:hint="eastAsia"/>
          <w:color w:val="000000" w:themeColor="text1"/>
          <w14:textFill>
            <w14:solidFill>
              <w14:schemeClr w14:val="tx1"/>
            </w14:solidFill>
          </w14:textFill>
        </w:rPr>
        <w:t>具备履行所要求的3级人员职责的能力。</w:t>
      </w:r>
    </w:p>
    <w:p w14:paraId="49254833">
      <w:pPr>
        <w:pStyle w:val="24"/>
        <w:rPr>
          <w:color w:val="000000" w:themeColor="text1"/>
          <w14:textFill>
            <w14:solidFill>
              <w14:schemeClr w14:val="tx1"/>
            </w14:solidFill>
          </w14:textFill>
        </w:rPr>
      </w:pPr>
    </w:p>
    <w:p w14:paraId="655BED74">
      <w:pPr>
        <w:pStyle w:val="24"/>
        <w:rPr>
          <w:color w:val="000000" w:themeColor="text1"/>
          <w14:textFill>
            <w14:solidFill>
              <w14:schemeClr w14:val="tx1"/>
            </w14:solidFill>
          </w14:textFill>
        </w:rPr>
      </w:pPr>
    </w:p>
    <w:p w14:paraId="4086983B">
      <w:pPr>
        <w:pStyle w:val="24"/>
      </w:pPr>
    </w:p>
    <w:bookmarkEnd w:id="928"/>
    <w:bookmarkEnd w:id="929"/>
    <w:bookmarkEnd w:id="930"/>
    <w:bookmarkEnd w:id="931"/>
    <w:bookmarkEnd w:id="932"/>
    <w:bookmarkEnd w:id="933"/>
    <w:bookmarkEnd w:id="934"/>
    <w:bookmarkEnd w:id="935"/>
    <w:p w14:paraId="17ED31EA">
      <w:pPr>
        <w:pStyle w:val="45"/>
        <w:spacing w:before="312" w:after="312"/>
        <w:rPr>
          <w:color w:val="000000" w:themeColor="text1"/>
          <w14:textFill>
            <w14:solidFill>
              <w14:schemeClr w14:val="tx1"/>
            </w14:solidFill>
          </w14:textFill>
        </w:rPr>
      </w:pPr>
      <w:bookmarkStart w:id="936" w:name="_Toc225884880"/>
      <w:bookmarkEnd w:id="936"/>
      <w:bookmarkStart w:id="937" w:name="_Toc225885291"/>
      <w:bookmarkEnd w:id="937"/>
      <w:bookmarkStart w:id="938" w:name="_Toc240124599"/>
      <w:bookmarkEnd w:id="938"/>
      <w:bookmarkStart w:id="939" w:name="_Toc225885703"/>
      <w:bookmarkEnd w:id="939"/>
      <w:bookmarkStart w:id="940" w:name="_Toc225884468"/>
      <w:bookmarkEnd w:id="940"/>
      <w:bookmarkStart w:id="941" w:name="_Toc225884469"/>
      <w:bookmarkEnd w:id="941"/>
      <w:bookmarkStart w:id="942" w:name="_Toc225885084"/>
      <w:bookmarkEnd w:id="942"/>
      <w:bookmarkStart w:id="943" w:name="_Toc225884675"/>
      <w:bookmarkEnd w:id="943"/>
      <w:bookmarkStart w:id="944" w:name="_Toc225884674"/>
      <w:bookmarkEnd w:id="944"/>
      <w:bookmarkStart w:id="945" w:name="_Toc225885498"/>
      <w:bookmarkEnd w:id="945"/>
      <w:bookmarkStart w:id="946" w:name="_Toc225885710"/>
      <w:bookmarkEnd w:id="946"/>
      <w:bookmarkStart w:id="947" w:name="_Toc240124601"/>
      <w:bookmarkEnd w:id="947"/>
      <w:bookmarkStart w:id="948" w:name="_Toc225885086"/>
      <w:bookmarkEnd w:id="948"/>
      <w:bookmarkStart w:id="949" w:name="_Toc225884470"/>
      <w:bookmarkEnd w:id="949"/>
      <w:bookmarkStart w:id="950" w:name="_Toc225885709"/>
      <w:bookmarkEnd w:id="950"/>
      <w:bookmarkStart w:id="951" w:name="_Toc225884883"/>
      <w:bookmarkEnd w:id="951"/>
      <w:bookmarkStart w:id="952" w:name="_Toc225884682"/>
      <w:bookmarkEnd w:id="952"/>
      <w:bookmarkStart w:id="953" w:name="_Toc225884887"/>
      <w:bookmarkEnd w:id="953"/>
      <w:bookmarkStart w:id="954" w:name="_Toc225884888"/>
      <w:bookmarkEnd w:id="954"/>
      <w:bookmarkStart w:id="955" w:name="_Toc240124604"/>
      <w:bookmarkEnd w:id="955"/>
      <w:bookmarkStart w:id="956" w:name="_Toc225884676"/>
      <w:bookmarkEnd w:id="956"/>
      <w:bookmarkStart w:id="957" w:name="_Toc225884474"/>
      <w:bookmarkEnd w:id="957"/>
      <w:bookmarkStart w:id="958" w:name="_Toc225884680"/>
      <w:bookmarkEnd w:id="958"/>
      <w:bookmarkStart w:id="959" w:name="_Toc225884475"/>
      <w:bookmarkEnd w:id="959"/>
      <w:bookmarkStart w:id="960" w:name="_Toc225885711"/>
      <w:bookmarkEnd w:id="960"/>
      <w:bookmarkStart w:id="961" w:name="_Toc240124606"/>
      <w:bookmarkEnd w:id="961"/>
      <w:bookmarkStart w:id="962" w:name="_Toc225885503"/>
      <w:bookmarkEnd w:id="962"/>
      <w:bookmarkStart w:id="963" w:name="_Toc240124607"/>
      <w:bookmarkEnd w:id="963"/>
      <w:bookmarkStart w:id="964" w:name="_Toc225885299"/>
      <w:bookmarkEnd w:id="964"/>
      <w:bookmarkStart w:id="965" w:name="_Toc225884477"/>
      <w:bookmarkEnd w:id="965"/>
      <w:bookmarkStart w:id="966" w:name="_Toc225885087"/>
      <w:bookmarkEnd w:id="966"/>
      <w:bookmarkStart w:id="967" w:name="_Toc225884472"/>
      <w:bookmarkEnd w:id="967"/>
      <w:bookmarkStart w:id="968" w:name="_Toc225885292"/>
      <w:bookmarkEnd w:id="968"/>
      <w:bookmarkStart w:id="969" w:name="_Toc240124600"/>
      <w:bookmarkEnd w:id="969"/>
      <w:bookmarkStart w:id="970" w:name="_Toc225884681"/>
      <w:bookmarkEnd w:id="970"/>
      <w:bookmarkStart w:id="971" w:name="_Toc225885505"/>
      <w:bookmarkEnd w:id="971"/>
      <w:bookmarkStart w:id="972" w:name="_Toc225885707"/>
      <w:bookmarkEnd w:id="972"/>
      <w:bookmarkStart w:id="973" w:name="_Toc240124603"/>
      <w:bookmarkEnd w:id="973"/>
      <w:bookmarkStart w:id="974" w:name="_Toc225884476"/>
      <w:bookmarkEnd w:id="974"/>
      <w:bookmarkStart w:id="975" w:name="_Toc225885506"/>
      <w:bookmarkEnd w:id="975"/>
      <w:bookmarkStart w:id="976" w:name="_Toc225885704"/>
      <w:bookmarkEnd w:id="976"/>
      <w:bookmarkStart w:id="977" w:name="_Toc225885092"/>
      <w:bookmarkEnd w:id="977"/>
      <w:bookmarkStart w:id="978" w:name="_Toc225884683"/>
      <w:bookmarkEnd w:id="978"/>
      <w:bookmarkStart w:id="979" w:name="_Toc225885499"/>
      <w:bookmarkEnd w:id="979"/>
      <w:bookmarkStart w:id="980" w:name="_Toc225885297"/>
      <w:bookmarkEnd w:id="980"/>
      <w:bookmarkStart w:id="981" w:name="_Toc225884677"/>
      <w:bookmarkEnd w:id="981"/>
      <w:bookmarkStart w:id="982" w:name="_Toc225885294"/>
      <w:bookmarkEnd w:id="982"/>
      <w:bookmarkStart w:id="983" w:name="_Toc225885706"/>
      <w:bookmarkEnd w:id="983"/>
      <w:bookmarkStart w:id="984" w:name="_Toc240124602"/>
      <w:bookmarkEnd w:id="984"/>
      <w:bookmarkStart w:id="985" w:name="_Toc225884884"/>
      <w:bookmarkEnd w:id="985"/>
      <w:bookmarkStart w:id="986" w:name="_Toc225884679"/>
      <w:bookmarkEnd w:id="986"/>
      <w:bookmarkStart w:id="987" w:name="_Toc225885296"/>
      <w:bookmarkEnd w:id="987"/>
      <w:bookmarkStart w:id="988" w:name="_Toc225885705"/>
      <w:bookmarkEnd w:id="988"/>
      <w:bookmarkStart w:id="989" w:name="_Toc225885089"/>
      <w:bookmarkEnd w:id="989"/>
      <w:bookmarkStart w:id="990" w:name="_Toc225884886"/>
      <w:bookmarkEnd w:id="990"/>
      <w:bookmarkStart w:id="991" w:name="_Toc225885091"/>
      <w:bookmarkEnd w:id="991"/>
      <w:bookmarkStart w:id="992" w:name="_Toc225885708"/>
      <w:bookmarkEnd w:id="992"/>
      <w:bookmarkStart w:id="993" w:name="_Toc225884882"/>
      <w:bookmarkEnd w:id="993"/>
      <w:bookmarkStart w:id="994" w:name="_Toc225885088"/>
      <w:bookmarkEnd w:id="994"/>
      <w:bookmarkStart w:id="995" w:name="_Toc225885502"/>
      <w:bookmarkEnd w:id="995"/>
      <w:bookmarkStart w:id="996" w:name="_Toc225885085"/>
      <w:bookmarkEnd w:id="996"/>
      <w:bookmarkStart w:id="997" w:name="_Toc225884678"/>
      <w:bookmarkEnd w:id="997"/>
      <w:bookmarkStart w:id="998" w:name="_Toc225885293"/>
      <w:bookmarkEnd w:id="998"/>
      <w:bookmarkStart w:id="999" w:name="_Toc225885500"/>
      <w:bookmarkEnd w:id="999"/>
      <w:bookmarkStart w:id="1000" w:name="_Toc225884881"/>
      <w:bookmarkEnd w:id="1000"/>
      <w:bookmarkStart w:id="1001" w:name="_Toc225885295"/>
      <w:bookmarkEnd w:id="1001"/>
      <w:bookmarkStart w:id="1002" w:name="_Toc225884473"/>
      <w:bookmarkEnd w:id="1002"/>
      <w:bookmarkStart w:id="1003" w:name="_Toc225884471"/>
      <w:bookmarkEnd w:id="1003"/>
      <w:bookmarkStart w:id="1004" w:name="_Toc225885501"/>
      <w:bookmarkEnd w:id="1004"/>
      <w:bookmarkStart w:id="1005" w:name="_Toc225884885"/>
      <w:bookmarkEnd w:id="1005"/>
      <w:bookmarkStart w:id="1006" w:name="_Toc225885090"/>
      <w:bookmarkEnd w:id="1006"/>
      <w:bookmarkStart w:id="1007" w:name="_Toc225885504"/>
      <w:bookmarkEnd w:id="1007"/>
      <w:bookmarkStart w:id="1008" w:name="_Toc240124605"/>
      <w:bookmarkEnd w:id="1008"/>
      <w:bookmarkStart w:id="1009" w:name="_Toc225885298"/>
      <w:bookmarkEnd w:id="1009"/>
      <w:bookmarkStart w:id="1010" w:name="_Toc225885301"/>
      <w:bookmarkEnd w:id="1010"/>
      <w:bookmarkStart w:id="1011" w:name="_Toc225884893"/>
      <w:bookmarkEnd w:id="1011"/>
      <w:bookmarkStart w:id="1012" w:name="_Toc225884478"/>
      <w:bookmarkEnd w:id="1012"/>
      <w:bookmarkStart w:id="1013" w:name="_Toc225884479"/>
      <w:bookmarkEnd w:id="1013"/>
      <w:bookmarkStart w:id="1014" w:name="_Toc225885302"/>
      <w:bookmarkEnd w:id="1014"/>
      <w:bookmarkStart w:id="1015" w:name="_Toc225885093"/>
      <w:bookmarkEnd w:id="1015"/>
      <w:bookmarkStart w:id="1016" w:name="_Toc225885715"/>
      <w:bookmarkEnd w:id="1016"/>
      <w:bookmarkStart w:id="1017" w:name="_Toc225884891"/>
      <w:bookmarkEnd w:id="1017"/>
      <w:bookmarkStart w:id="1018" w:name="_Toc225885716"/>
      <w:bookmarkEnd w:id="1018"/>
      <w:bookmarkStart w:id="1019" w:name="_Toc225884480"/>
      <w:bookmarkEnd w:id="1019"/>
      <w:bookmarkStart w:id="1020" w:name="_Toc225885717"/>
      <w:bookmarkEnd w:id="1020"/>
      <w:bookmarkStart w:id="1021" w:name="_Toc240124613"/>
      <w:bookmarkEnd w:id="1021"/>
      <w:bookmarkStart w:id="1022" w:name="_Toc225884483"/>
      <w:bookmarkEnd w:id="1022"/>
      <w:bookmarkStart w:id="1023" w:name="_Toc240124614"/>
      <w:bookmarkEnd w:id="1023"/>
      <w:bookmarkStart w:id="1024" w:name="_Toc225885100"/>
      <w:bookmarkEnd w:id="1024"/>
      <w:bookmarkStart w:id="1025" w:name="_Toc225885514"/>
      <w:bookmarkEnd w:id="1025"/>
      <w:bookmarkStart w:id="1026" w:name="_Toc225884889"/>
      <w:bookmarkEnd w:id="1026"/>
      <w:bookmarkStart w:id="1027" w:name="_Toc240124608"/>
      <w:bookmarkEnd w:id="1027"/>
      <w:bookmarkStart w:id="1028" w:name="_Toc225884688"/>
      <w:bookmarkEnd w:id="1028"/>
      <w:bookmarkStart w:id="1029" w:name="_Toc225884894"/>
      <w:bookmarkEnd w:id="1029"/>
      <w:bookmarkStart w:id="1030" w:name="_Toc225885306"/>
      <w:bookmarkEnd w:id="1030"/>
      <w:bookmarkStart w:id="1031" w:name="_Toc225885718"/>
      <w:bookmarkEnd w:id="1031"/>
      <w:bookmarkStart w:id="1032" w:name="_Toc225885719"/>
      <w:bookmarkEnd w:id="1032"/>
      <w:bookmarkStart w:id="1033" w:name="_Toc240124615"/>
      <w:bookmarkEnd w:id="1033"/>
      <w:bookmarkStart w:id="1034" w:name="_Toc225885094"/>
      <w:bookmarkEnd w:id="1034"/>
      <w:bookmarkStart w:id="1035" w:name="_Toc225884684"/>
      <w:bookmarkEnd w:id="1035"/>
      <w:bookmarkStart w:id="1036" w:name="_Toc225884687"/>
      <w:bookmarkEnd w:id="1036"/>
      <w:bookmarkStart w:id="1037" w:name="_Toc225884689"/>
      <w:bookmarkEnd w:id="1037"/>
      <w:bookmarkStart w:id="1038" w:name="_Toc240124609"/>
      <w:bookmarkEnd w:id="1038"/>
      <w:bookmarkStart w:id="1039" w:name="_Toc225885509"/>
      <w:bookmarkEnd w:id="1039"/>
      <w:bookmarkStart w:id="1040" w:name="_Toc225885096"/>
      <w:bookmarkEnd w:id="1040"/>
      <w:bookmarkStart w:id="1041" w:name="_Toc225885511"/>
      <w:bookmarkEnd w:id="1041"/>
      <w:bookmarkStart w:id="1042" w:name="_Toc225884685"/>
      <w:bookmarkEnd w:id="1042"/>
      <w:bookmarkStart w:id="1043" w:name="_Toc225885512"/>
      <w:bookmarkEnd w:id="1043"/>
      <w:bookmarkStart w:id="1044" w:name="_Toc225885513"/>
      <w:bookmarkEnd w:id="1044"/>
      <w:bookmarkStart w:id="1045" w:name="_Toc225885714"/>
      <w:bookmarkEnd w:id="1045"/>
      <w:bookmarkStart w:id="1046" w:name="_Toc225885300"/>
      <w:bookmarkEnd w:id="1046"/>
      <w:bookmarkStart w:id="1047" w:name="_Toc225885303"/>
      <w:bookmarkEnd w:id="1047"/>
      <w:bookmarkStart w:id="1048" w:name="_Toc225885095"/>
      <w:bookmarkEnd w:id="1048"/>
      <w:bookmarkStart w:id="1049" w:name="_Toc225884686"/>
      <w:bookmarkEnd w:id="1049"/>
      <w:bookmarkStart w:id="1050" w:name="_Toc225884892"/>
      <w:bookmarkEnd w:id="1050"/>
      <w:bookmarkStart w:id="1051" w:name="_Toc225885713"/>
      <w:bookmarkEnd w:id="1051"/>
      <w:bookmarkStart w:id="1052" w:name="_Toc240124611"/>
      <w:bookmarkEnd w:id="1052"/>
      <w:bookmarkStart w:id="1053" w:name="_Toc225885304"/>
      <w:bookmarkEnd w:id="1053"/>
      <w:bookmarkStart w:id="1054" w:name="_Toc240124612"/>
      <w:bookmarkEnd w:id="1054"/>
      <w:bookmarkStart w:id="1055" w:name="_Toc240124610"/>
      <w:bookmarkEnd w:id="1055"/>
      <w:bookmarkStart w:id="1056" w:name="_Toc225884482"/>
      <w:bookmarkEnd w:id="1056"/>
      <w:bookmarkStart w:id="1057" w:name="_Toc225885098"/>
      <w:bookmarkEnd w:id="1057"/>
      <w:bookmarkStart w:id="1058" w:name="_Toc225885712"/>
      <w:bookmarkEnd w:id="1058"/>
      <w:bookmarkStart w:id="1059" w:name="_Toc225884484"/>
      <w:bookmarkEnd w:id="1059"/>
      <w:bookmarkStart w:id="1060" w:name="_Toc225885510"/>
      <w:bookmarkEnd w:id="1060"/>
      <w:bookmarkStart w:id="1061" w:name="_Toc225885307"/>
      <w:bookmarkEnd w:id="1061"/>
      <w:bookmarkStart w:id="1062" w:name="_Toc225884896"/>
      <w:bookmarkEnd w:id="1062"/>
      <w:bookmarkStart w:id="1063" w:name="_Toc225884890"/>
      <w:bookmarkEnd w:id="1063"/>
      <w:bookmarkStart w:id="1064" w:name="_Toc225885508"/>
      <w:bookmarkEnd w:id="1064"/>
      <w:bookmarkStart w:id="1065" w:name="_Toc225884481"/>
      <w:bookmarkEnd w:id="1065"/>
      <w:bookmarkStart w:id="1066" w:name="_Toc225885097"/>
      <w:bookmarkEnd w:id="1066"/>
      <w:bookmarkStart w:id="1067" w:name="_Toc225885507"/>
      <w:bookmarkEnd w:id="1067"/>
      <w:bookmarkStart w:id="1068" w:name="_Toc225885305"/>
      <w:bookmarkEnd w:id="1068"/>
      <w:bookmarkStart w:id="1069" w:name="_Toc225884895"/>
      <w:bookmarkEnd w:id="1069"/>
      <w:bookmarkStart w:id="1070" w:name="_Toc225885099"/>
      <w:bookmarkEnd w:id="1070"/>
      <w:bookmarkStart w:id="1071" w:name="_Toc225884690"/>
      <w:bookmarkEnd w:id="1071"/>
      <w:bookmarkStart w:id="1072" w:name="_Toc303149787"/>
      <w:bookmarkStart w:id="1073" w:name="_Toc314478376"/>
      <w:bookmarkStart w:id="1074" w:name="_Toc240124616"/>
      <w:bookmarkStart w:id="1075" w:name="_Toc309649100"/>
      <w:bookmarkStart w:id="1076" w:name="_Toc303780198"/>
      <w:bookmarkStart w:id="1077" w:name="_Toc314487181"/>
      <w:bookmarkStart w:id="1078" w:name="_Toc303149821"/>
      <w:bookmarkStart w:id="1079" w:name="_Toc316393931"/>
      <w:r>
        <w:rPr>
          <w:rFonts w:hint="eastAsia"/>
          <w:color w:val="000000" w:themeColor="text1"/>
          <w14:textFill>
            <w14:solidFill>
              <w14:schemeClr w14:val="tx1"/>
            </w14:solidFill>
          </w14:textFill>
        </w:rPr>
        <w:t>资格鉴定和认证等级</w:t>
      </w:r>
      <w:bookmarkEnd w:id="1072"/>
      <w:bookmarkEnd w:id="1073"/>
      <w:bookmarkEnd w:id="1074"/>
      <w:bookmarkEnd w:id="1075"/>
      <w:bookmarkEnd w:id="1076"/>
      <w:bookmarkEnd w:id="1077"/>
      <w:bookmarkEnd w:id="1078"/>
      <w:bookmarkEnd w:id="1079"/>
    </w:p>
    <w:p w14:paraId="17ED31EB">
      <w:pPr>
        <w:pStyle w:val="42"/>
        <w:spacing w:before="156" w:after="156"/>
        <w:rPr>
          <w:color w:val="000000" w:themeColor="text1"/>
          <w14:textFill>
            <w14:solidFill>
              <w14:schemeClr w14:val="tx1"/>
            </w14:solidFill>
          </w14:textFill>
        </w:rPr>
      </w:pPr>
      <w:bookmarkStart w:id="1080" w:name="_Toc240124617"/>
      <w:r>
        <w:rPr>
          <w:rFonts w:hint="eastAsia"/>
          <w:color w:val="000000" w:themeColor="text1"/>
          <w14:textFill>
            <w14:solidFill>
              <w14:schemeClr w14:val="tx1"/>
            </w14:solidFill>
          </w14:textFill>
        </w:rPr>
        <w:t>概述</w:t>
      </w:r>
      <w:bookmarkEnd w:id="1080"/>
    </w:p>
    <w:p w14:paraId="17ED31EC">
      <w:pPr>
        <w:pStyle w:val="24"/>
        <w:rPr>
          <w:rFonts w:hint="eastAsia" w:hAnsi="宋体" w:cs="Arial"/>
          <w:b/>
          <w:bCs/>
          <w:color w:val="000000" w:themeColor="text1"/>
          <w14:textFill>
            <w14:solidFill>
              <w14:schemeClr w14:val="tx1"/>
            </w14:solidFill>
          </w14:textFill>
        </w:rPr>
      </w:pPr>
      <w:r>
        <w:rPr>
          <w:rFonts w:hint="eastAsia" w:ascii="Arial" w:cs="Arial"/>
          <w:color w:val="000000" w:themeColor="text1"/>
          <w14:textFill>
            <w14:solidFill>
              <w14:schemeClr w14:val="tx1"/>
            </w14:solidFill>
          </w14:textFill>
        </w:rPr>
        <w:t>四个基本的认证等级包括：限定</w:t>
      </w:r>
      <w:r>
        <w:rPr>
          <w:rFonts w:hAnsi="宋体" w:cs="Arial"/>
          <w:color w:val="000000" w:themeColor="text1"/>
          <w14:textFill>
            <w14:solidFill>
              <w14:schemeClr w14:val="tx1"/>
            </w14:solidFill>
          </w14:textFill>
        </w:rPr>
        <w:t>1</w:t>
      </w:r>
      <w:r>
        <w:rPr>
          <w:rFonts w:hint="eastAsia" w:ascii="Arial" w:cs="Arial"/>
          <w:color w:val="000000" w:themeColor="text1"/>
          <w14:textFill>
            <w14:solidFill>
              <w14:schemeClr w14:val="tx1"/>
            </w14:solidFill>
          </w14:textFill>
        </w:rPr>
        <w:t>级、</w:t>
      </w:r>
      <w:r>
        <w:rPr>
          <w:rFonts w:hint="eastAsia" w:hAnsi="宋体" w:cs="Arial"/>
          <w:color w:val="000000" w:themeColor="text1"/>
          <w14:textFill>
            <w14:solidFill>
              <w14:schemeClr w14:val="tx1"/>
            </w14:solidFill>
          </w14:textFill>
        </w:rPr>
        <w:t>1</w:t>
      </w:r>
      <w:r>
        <w:rPr>
          <w:rFonts w:hint="eastAsia" w:ascii="Arial" w:cs="Arial"/>
          <w:color w:val="000000" w:themeColor="text1"/>
          <w14:textFill>
            <w14:solidFill>
              <w14:schemeClr w14:val="tx1"/>
            </w14:solidFill>
          </w14:textFill>
        </w:rPr>
        <w:t>级、</w:t>
      </w:r>
      <w:r>
        <w:rPr>
          <w:rFonts w:hint="eastAsia" w:hAnsi="宋体" w:cs="Arial"/>
          <w:color w:val="000000" w:themeColor="text1"/>
          <w14:textFill>
            <w14:solidFill>
              <w14:schemeClr w14:val="tx1"/>
            </w14:solidFill>
          </w14:textFill>
        </w:rPr>
        <w:t>2</w:t>
      </w:r>
      <w:r>
        <w:rPr>
          <w:rFonts w:hint="eastAsia" w:ascii="Arial" w:cs="Arial"/>
          <w:color w:val="000000" w:themeColor="text1"/>
          <w14:textFill>
            <w14:solidFill>
              <w14:schemeClr w14:val="tx1"/>
            </w14:solidFill>
          </w14:textFill>
        </w:rPr>
        <w:t>级和</w:t>
      </w:r>
      <w:r>
        <w:rPr>
          <w:rFonts w:hint="eastAsia" w:hAnsi="宋体" w:cs="Arial"/>
          <w:color w:val="000000" w:themeColor="text1"/>
          <w14:textFill>
            <w14:solidFill>
              <w14:schemeClr w14:val="tx1"/>
            </w14:solidFill>
          </w14:textFill>
        </w:rPr>
        <w:t>3</w:t>
      </w:r>
      <w:r>
        <w:rPr>
          <w:rFonts w:hint="eastAsia" w:ascii="Arial" w:cs="Arial"/>
          <w:color w:val="000000" w:themeColor="text1"/>
          <w14:textFill>
            <w14:solidFill>
              <w14:schemeClr w14:val="tx1"/>
            </w14:solidFill>
          </w14:textFill>
        </w:rPr>
        <w:t>级。雇主</w:t>
      </w:r>
      <w:r>
        <w:rPr>
          <w:rFonts w:hint="eastAsia"/>
          <w:color w:val="000000" w:themeColor="text1"/>
          <w14:textFill>
            <w14:solidFill>
              <w14:schemeClr w14:val="tx1"/>
            </w14:solidFill>
          </w14:textFill>
        </w:rPr>
        <w:t>可以将等级适当的细化、增加或限定等级，但不可以取消或减少每个等级的最低要求。如果</w:t>
      </w:r>
      <w:r>
        <w:rPr>
          <w:rFonts w:hint="eastAsia" w:ascii="Arial" w:cs="Arial"/>
          <w:color w:val="000000" w:themeColor="text1"/>
          <w14:textFill>
            <w14:solidFill>
              <w14:schemeClr w14:val="tx1"/>
            </w14:solidFill>
          </w14:textFill>
        </w:rPr>
        <w:t>雇主不需要采用下列所有的等级，则采用的等级应列入雇主的书面实施规程中。等级的其他变化或细化的实施也应将其要求和职责详尽的列入雇主的书面实施规程中。</w:t>
      </w:r>
    </w:p>
    <w:p w14:paraId="777DEE13">
      <w:pPr>
        <w:pStyle w:val="24"/>
        <w:rPr>
          <w:rFonts w:hint="eastAsia" w:hAnsi="宋体" w:cs="Arial"/>
          <w:color w:val="000000" w:themeColor="text1"/>
          <w14:textFill>
            <w14:solidFill>
              <w14:schemeClr w14:val="tx1"/>
            </w14:solidFill>
          </w14:textFill>
        </w:rPr>
      </w:pPr>
      <w:r>
        <w:rPr>
          <w:rFonts w:hint="eastAsia" w:ascii="Arial" w:cs="Arial"/>
          <w:color w:val="000000" w:themeColor="text1"/>
          <w14:textFill>
            <w14:solidFill>
              <w14:schemeClr w14:val="tx1"/>
            </w14:solidFill>
          </w14:textFill>
        </w:rPr>
        <w:t>如果</w:t>
      </w:r>
      <w:r>
        <w:rPr>
          <w:rFonts w:hint="eastAsia" w:hAnsi="宋体" w:cs="Arial"/>
          <w:color w:val="000000" w:themeColor="text1"/>
          <w14:textFill>
            <w14:solidFill>
              <w14:schemeClr w14:val="tx1"/>
            </w14:solidFill>
          </w14:textFill>
        </w:rPr>
        <w:t>NDT</w:t>
      </w:r>
      <w:r>
        <w:rPr>
          <w:rFonts w:hint="eastAsia" w:ascii="Arial" w:cs="Arial"/>
          <w:color w:val="000000" w:themeColor="text1"/>
          <w14:textFill>
            <w14:solidFill>
              <w14:schemeClr w14:val="tx1"/>
            </w14:solidFill>
          </w14:textFill>
        </w:rPr>
        <w:t>人员在所用方法和技术中没有获得相应等级的认证，则该人员不应独立执行</w:t>
      </w:r>
      <w:r>
        <w:rPr>
          <w:rFonts w:hint="eastAsia" w:hAnsi="宋体" w:cs="Arial"/>
          <w:color w:val="0000FF"/>
        </w:rPr>
        <w:t>5.2、5.3、5.4和5.5</w:t>
      </w:r>
      <w:r>
        <w:rPr>
          <w:rFonts w:hint="eastAsia" w:hAnsi="宋体" w:cs="Arial"/>
          <w:color w:val="000000" w:themeColor="text1"/>
          <w14:textFill>
            <w14:solidFill>
              <w14:schemeClr w14:val="tx1"/>
            </w14:solidFill>
          </w14:textFill>
        </w:rPr>
        <w:t>的职能。</w:t>
      </w:r>
    </w:p>
    <w:p w14:paraId="17ED31EE">
      <w:pPr>
        <w:pStyle w:val="42"/>
        <w:spacing w:before="156" w:after="156"/>
        <w:rPr>
          <w:color w:val="000000" w:themeColor="text1"/>
          <w14:textFill>
            <w14:solidFill>
              <w14:schemeClr w14:val="tx1"/>
            </w14:solidFill>
          </w14:textFill>
        </w:rPr>
      </w:pPr>
      <w:bookmarkStart w:id="1081" w:name="_Toc303149789"/>
      <w:bookmarkStart w:id="1082" w:name="_Toc314478378"/>
      <w:bookmarkStart w:id="1083" w:name="_Toc309649102"/>
      <w:bookmarkStart w:id="1084" w:name="_Toc240124618"/>
      <w:bookmarkStart w:id="1085" w:name="_Toc303149823"/>
      <w:bookmarkStart w:id="1086" w:name="_Toc303069593"/>
      <w:bookmarkStart w:id="1087" w:name="_Toc314487183"/>
      <w:bookmarkStart w:id="1088" w:name="_Toc303780200"/>
      <w:bookmarkStart w:id="1089" w:name="_Toc316393933"/>
      <w:r>
        <w:rPr>
          <w:color w:val="000000" w:themeColor="text1"/>
          <w14:textFill>
            <w14:solidFill>
              <w14:schemeClr w14:val="tx1"/>
            </w14:solidFill>
          </w14:textFill>
        </w:rPr>
        <w:t>学员</w:t>
      </w:r>
      <w:bookmarkEnd w:id="1081"/>
      <w:bookmarkEnd w:id="1082"/>
      <w:bookmarkEnd w:id="1083"/>
      <w:bookmarkEnd w:id="1084"/>
      <w:bookmarkEnd w:id="1085"/>
      <w:bookmarkEnd w:id="1086"/>
      <w:bookmarkEnd w:id="1087"/>
      <w:bookmarkEnd w:id="1088"/>
      <w:bookmarkEnd w:id="1089"/>
    </w:p>
    <w:p w14:paraId="17ED31F0">
      <w:pPr>
        <w:pStyle w:val="24"/>
        <w:rPr>
          <w:color w:val="000000" w:themeColor="text1"/>
          <w14:textFill>
            <w14:solidFill>
              <w14:schemeClr w14:val="tx1"/>
            </w14:solidFill>
          </w14:textFill>
        </w:rPr>
      </w:pPr>
      <w:r>
        <w:rPr>
          <w:rFonts w:hint="eastAsia"/>
          <w:color w:val="0000FF"/>
        </w:rPr>
        <w:t>已经备案的正在参加NDT培训项目并且处于限定1级、1级或直接认证2级资格鉴定过程中的人员，应被视为学员</w:t>
      </w:r>
      <w:r>
        <w:rPr>
          <w:rFonts w:hint="eastAsia"/>
          <w:color w:val="000000" w:themeColor="text1"/>
          <w14:textFill>
            <w14:solidFill>
              <w14:schemeClr w14:val="tx1"/>
            </w14:solidFill>
          </w14:textFill>
        </w:rPr>
        <w:t>。在所准备认证</w:t>
      </w:r>
      <w:r>
        <w:rPr>
          <w:rFonts w:hint="eastAsia"/>
          <w:color w:val="0000FF"/>
        </w:rPr>
        <w:t>的方法方面</w:t>
      </w:r>
      <w:r>
        <w:rPr>
          <w:rFonts w:hint="eastAsia"/>
          <w:color w:val="000000" w:themeColor="text1"/>
          <w14:textFill>
            <w14:solidFill>
              <w14:schemeClr w14:val="tx1"/>
            </w14:solidFill>
          </w14:textFill>
        </w:rPr>
        <w:t>，学员：</w:t>
      </w:r>
    </w:p>
    <w:p w14:paraId="17ED31F1">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应经备案并且在规定的时间期限内充分参加所认证方法的培训项目；</w:t>
      </w:r>
    </w:p>
    <w:p w14:paraId="17ED31F2">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应在同种方法的2级或3级人员的直接观察下获得经历；</w:t>
      </w:r>
    </w:p>
    <w:p w14:paraId="17ED31F3">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或者经责任3级人员批准后，在</w:t>
      </w:r>
      <w:r>
        <w:rPr>
          <w:rFonts w:hint="eastAsia"/>
          <w:color w:val="0000FF"/>
        </w:rPr>
        <w:t>同种方法</w:t>
      </w:r>
      <w:r>
        <w:rPr>
          <w:color w:val="000000" w:themeColor="text1"/>
          <w14:textFill>
            <w14:solidFill>
              <w14:schemeClr w14:val="tx1"/>
            </w14:solidFill>
          </w14:textFill>
        </w:rPr>
        <w:t>1级人员或教员的直接观察下获得经历</w:t>
      </w:r>
      <w:r>
        <w:rPr>
          <w:rFonts w:hint="eastAsia"/>
          <w:color w:val="000000" w:themeColor="text1"/>
          <w14:textFill>
            <w14:solidFill>
              <w14:schemeClr w14:val="tx1"/>
            </w14:solidFill>
          </w14:textFill>
        </w:rPr>
        <w:t>；</w:t>
      </w:r>
    </w:p>
    <w:p w14:paraId="17ED31F4">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不应独立从事NDT检测；</w:t>
      </w:r>
    </w:p>
    <w:p w14:paraId="17ED31F5">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不应做出接收或拒收决定；</w:t>
      </w:r>
    </w:p>
    <w:p w14:paraId="17ED31F6">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不应独立从事其他</w:t>
      </w:r>
      <w:r>
        <w:rPr>
          <w:rFonts w:hint="eastAsia"/>
          <w:color w:val="0000FF"/>
        </w:rPr>
        <w:t>任何NDT工作</w:t>
      </w:r>
      <w:r>
        <w:rPr>
          <w:rFonts w:hint="eastAsia"/>
          <w:color w:val="000000" w:themeColor="text1"/>
          <w14:textFill>
            <w14:solidFill>
              <w14:schemeClr w14:val="tx1"/>
            </w14:solidFill>
          </w14:textFill>
        </w:rPr>
        <w:t>。</w:t>
      </w:r>
    </w:p>
    <w:p w14:paraId="375E8D43">
      <w:pPr>
        <w:pStyle w:val="42"/>
        <w:spacing w:before="156" w:after="156"/>
      </w:pPr>
      <w:bookmarkStart w:id="1090" w:name="_Toc240124619"/>
      <w:r>
        <w:rPr>
          <w:rFonts w:hint="eastAsia"/>
        </w:rPr>
        <w:t>限定1级人员</w:t>
      </w:r>
      <w:bookmarkEnd w:id="1090"/>
    </w:p>
    <w:p w14:paraId="48DAF9ED">
      <w:pPr>
        <w:pStyle w:val="24"/>
        <w:rPr>
          <w:color w:val="0000FF"/>
        </w:rPr>
      </w:pPr>
      <w:r>
        <w:rPr>
          <w:rFonts w:hint="eastAsia"/>
          <w:color w:val="0000FF"/>
        </w:rPr>
        <w:t>限定1级人员的详细要求参考附录B。</w:t>
      </w:r>
    </w:p>
    <w:p w14:paraId="04C7659D">
      <w:pPr>
        <w:pStyle w:val="42"/>
        <w:spacing w:before="156" w:after="156"/>
      </w:pPr>
      <w:bookmarkStart w:id="1091" w:name="_Toc240124620"/>
      <w:r>
        <w:rPr>
          <w:rFonts w:hint="eastAsia"/>
        </w:rPr>
        <w:t>1级人员</w:t>
      </w:r>
      <w:bookmarkEnd w:id="1091"/>
    </w:p>
    <w:p w14:paraId="17ED31FF">
      <w:pPr>
        <w:pStyle w:val="24"/>
        <w:rPr>
          <w:b/>
          <w:bCs/>
          <w:color w:val="000000" w:themeColor="text1"/>
          <w14:textFill>
            <w14:solidFill>
              <w14:schemeClr w14:val="tx1"/>
            </w14:solidFill>
          </w14:textFill>
        </w:rPr>
      </w:pPr>
      <w:r>
        <w:rPr>
          <w:rFonts w:hint="eastAsia"/>
          <w:color w:val="000000" w:themeColor="text1"/>
          <w14:textFill>
            <w14:solidFill>
              <w14:schemeClr w14:val="tx1"/>
            </w14:solidFill>
          </w14:textFill>
        </w:rPr>
        <w:t>在所认证的方法</w:t>
      </w:r>
      <w:r>
        <w:rPr>
          <w:rFonts w:hint="eastAsia"/>
          <w:color w:val="0000FF"/>
        </w:rPr>
        <w:t>和技术</w:t>
      </w:r>
      <w:r>
        <w:rPr>
          <w:rFonts w:hint="eastAsia"/>
          <w:color w:val="000000" w:themeColor="text1"/>
          <w14:textFill>
            <w14:solidFill>
              <w14:schemeClr w14:val="tx1"/>
            </w14:solidFill>
          </w14:textFill>
        </w:rPr>
        <w:t>内，1级人员：</w:t>
      </w:r>
    </w:p>
    <w:p w14:paraId="17ED3200">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应能够遵照</w:t>
      </w:r>
      <w:r>
        <w:rPr>
          <w:color w:val="000000" w:themeColor="text1"/>
          <w14:textFill>
            <w14:solidFill>
              <w14:schemeClr w14:val="tx1"/>
            </w14:solidFill>
          </w14:textFill>
        </w:rPr>
        <w:t>作业</w:t>
      </w:r>
      <w:r>
        <w:rPr>
          <w:rFonts w:hint="eastAsia"/>
          <w:color w:val="000000" w:themeColor="text1"/>
          <w14:textFill>
            <w14:solidFill>
              <w14:schemeClr w14:val="tx1"/>
            </w14:solidFill>
          </w14:textFill>
        </w:rPr>
        <w:t>指导书工作；</w:t>
      </w:r>
    </w:p>
    <w:p w14:paraId="17ED3201">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应具备按照批准的</w:t>
      </w:r>
      <w:r>
        <w:rPr>
          <w:color w:val="000000" w:themeColor="text1"/>
          <w14:textFill>
            <w14:solidFill>
              <w14:schemeClr w14:val="tx1"/>
            </w14:solidFill>
          </w14:textFill>
        </w:rPr>
        <w:t>作业</w:t>
      </w:r>
      <w:r>
        <w:rPr>
          <w:rFonts w:hint="eastAsia"/>
          <w:color w:val="000000" w:themeColor="text1"/>
          <w14:textFill>
            <w14:solidFill>
              <w14:schemeClr w14:val="tx1"/>
            </w14:solidFill>
          </w14:textFill>
        </w:rPr>
        <w:t>指导书处理零件、</w:t>
      </w:r>
      <w:r>
        <w:rPr>
          <w:rFonts w:hint="eastAsia"/>
          <w:color w:val="0000FF"/>
        </w:rPr>
        <w:t>记录结果和调校设备</w:t>
      </w:r>
      <w:r>
        <w:rPr>
          <w:rFonts w:hint="eastAsia"/>
          <w:color w:val="000000" w:themeColor="text1"/>
          <w14:textFill>
            <w14:solidFill>
              <w14:schemeClr w14:val="tx1"/>
            </w14:solidFill>
          </w14:textFill>
        </w:rPr>
        <w:t>的技能和知识；</w:t>
      </w:r>
    </w:p>
    <w:p w14:paraId="17ED3202">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应具备按照批准的</w:t>
      </w:r>
      <w:r>
        <w:rPr>
          <w:color w:val="000000" w:themeColor="text1"/>
          <w14:textFill>
            <w14:solidFill>
              <w14:schemeClr w14:val="tx1"/>
            </w14:solidFill>
          </w14:textFill>
        </w:rPr>
        <w:t>作业</w:t>
      </w:r>
      <w:r>
        <w:rPr>
          <w:rFonts w:hint="eastAsia"/>
          <w:color w:val="000000" w:themeColor="text1"/>
          <w14:textFill>
            <w14:solidFill>
              <w14:schemeClr w14:val="tx1"/>
            </w14:solidFill>
          </w14:textFill>
        </w:rPr>
        <w:t>指导书执行零件在检测前必要的准备和检测后所要求的恢复的技能和知识；</w:t>
      </w:r>
    </w:p>
    <w:p w14:paraId="17ED3203">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应具备按照适用的工艺标准对检测系统实施性能测试的知识和技能；</w:t>
      </w:r>
    </w:p>
    <w:p w14:paraId="17ED3204">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必要时，接受该方法2级或3级人员的指导和监督；</w:t>
      </w:r>
    </w:p>
    <w:p w14:paraId="17ED3205">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当</w:t>
      </w:r>
      <w:r>
        <w:rPr>
          <w:rFonts w:hint="eastAsia"/>
          <w:color w:val="0000FF"/>
        </w:rPr>
        <w:t>书面实施规程</w:t>
      </w:r>
      <w:r>
        <w:rPr>
          <w:rFonts w:hint="eastAsia"/>
          <w:color w:val="000000" w:themeColor="text1"/>
          <w14:textFill>
            <w14:solidFill>
              <w14:schemeClr w14:val="tx1"/>
            </w14:solidFill>
          </w14:textFill>
        </w:rPr>
        <w:t>有规定且经责任3级人员批准，可以按照批准的</w:t>
      </w:r>
      <w:r>
        <w:rPr>
          <w:color w:val="000000" w:themeColor="text1"/>
          <w14:textFill>
            <w14:solidFill>
              <w14:schemeClr w14:val="tx1"/>
            </w14:solidFill>
          </w14:textFill>
        </w:rPr>
        <w:t>作业</w:t>
      </w:r>
      <w:r>
        <w:rPr>
          <w:rFonts w:hint="eastAsia"/>
          <w:color w:val="000000" w:themeColor="text1"/>
          <w14:textFill>
            <w14:solidFill>
              <w14:schemeClr w14:val="tx1"/>
            </w14:solidFill>
          </w14:textFill>
        </w:rPr>
        <w:t>指导书</w:t>
      </w:r>
      <w:r>
        <w:rPr>
          <w:rFonts w:hint="eastAsia"/>
          <w:color w:val="0000FF"/>
        </w:rPr>
        <w:t>对特定产品或产品形式进行解释和评价，以判定接收或拒收</w:t>
      </w:r>
      <w:r>
        <w:rPr>
          <w:rFonts w:hint="eastAsia"/>
          <w:color w:val="000000" w:themeColor="text1"/>
          <w14:textFill>
            <w14:solidFill>
              <w14:schemeClr w14:val="tx1"/>
            </w14:solidFill>
          </w14:textFill>
        </w:rPr>
        <w:t>。</w:t>
      </w:r>
    </w:p>
    <w:p w14:paraId="4D0FEF72">
      <w:pPr>
        <w:pStyle w:val="42"/>
        <w:spacing w:before="156" w:after="156"/>
      </w:pPr>
      <w:bookmarkStart w:id="1092" w:name="_Toc240124621"/>
      <w:r>
        <w:rPr>
          <w:rFonts w:hint="eastAsia"/>
        </w:rPr>
        <w:t>2级人员</w:t>
      </w:r>
      <w:bookmarkEnd w:id="1092"/>
    </w:p>
    <w:p w14:paraId="17ED3207">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在所认证的方法</w:t>
      </w:r>
      <w:r>
        <w:rPr>
          <w:rFonts w:hint="eastAsia"/>
          <w:color w:val="0000FF"/>
        </w:rPr>
        <w:t>和技术</w:t>
      </w:r>
      <w:r>
        <w:rPr>
          <w:rFonts w:hint="eastAsia"/>
          <w:color w:val="000000" w:themeColor="text1"/>
          <w14:textFill>
            <w14:solidFill>
              <w14:schemeClr w14:val="tx1"/>
            </w14:solidFill>
          </w14:textFill>
        </w:rPr>
        <w:t>内，2级人员：</w:t>
      </w:r>
    </w:p>
    <w:p w14:paraId="17ED3208">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应具备</w:t>
      </w:r>
      <w:r>
        <w:rPr>
          <w:rFonts w:hint="eastAsia"/>
          <w:color w:val="0000FF"/>
        </w:rPr>
        <w:t>设置和调校</w:t>
      </w:r>
      <w:r>
        <w:rPr>
          <w:rFonts w:hint="eastAsia"/>
          <w:color w:val="000000" w:themeColor="text1"/>
          <w14:textFill>
            <w14:solidFill>
              <w14:schemeClr w14:val="tx1"/>
            </w14:solidFill>
          </w14:textFill>
        </w:rPr>
        <w:t>设备、</w:t>
      </w:r>
      <w:r>
        <w:rPr>
          <w:rFonts w:hint="eastAsia"/>
          <w:color w:val="0000FF"/>
        </w:rPr>
        <w:t>处理零件</w:t>
      </w:r>
      <w:r>
        <w:rPr>
          <w:rFonts w:hint="eastAsia"/>
          <w:color w:val="000000" w:themeColor="text1"/>
          <w14:textFill>
            <w14:solidFill>
              <w14:schemeClr w14:val="tx1"/>
            </w14:solidFill>
          </w14:textFill>
        </w:rPr>
        <w:t>、</w:t>
      </w:r>
      <w:r>
        <w:rPr>
          <w:rFonts w:hint="eastAsia"/>
          <w:color w:val="0000FF"/>
        </w:rPr>
        <w:t>解释和评价以判定接收或拒收</w:t>
      </w:r>
      <w:r>
        <w:rPr>
          <w:rFonts w:hint="eastAsia"/>
          <w:color w:val="000000" w:themeColor="text1"/>
          <w14:textFill>
            <w14:solidFill>
              <w14:schemeClr w14:val="tx1"/>
            </w14:solidFill>
          </w14:textFill>
        </w:rPr>
        <w:t>以及记录结果的技能和知识；</w:t>
      </w:r>
    </w:p>
    <w:p w14:paraId="17ED3209">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应</w:t>
      </w:r>
      <w:r>
        <w:rPr>
          <w:rFonts w:hint="eastAsia"/>
          <w:color w:val="0000FF"/>
        </w:rPr>
        <w:t>熟悉方法或技术的适用范围和局限性</w:t>
      </w:r>
      <w:r>
        <w:rPr>
          <w:rFonts w:hint="eastAsia"/>
          <w:color w:val="000000" w:themeColor="text1"/>
          <w14:textFill>
            <w14:solidFill>
              <w14:schemeClr w14:val="tx1"/>
            </w14:solidFill>
          </w14:textFill>
        </w:rPr>
        <w:t>；</w:t>
      </w:r>
    </w:p>
    <w:p w14:paraId="17ED320A">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应具备按照适用的工艺标准对检测系统实施性能测试的知识和技能</w:t>
      </w:r>
      <w:r>
        <w:rPr>
          <w:rFonts w:hint="eastAsia" w:ascii="Arial" w:cs="Arial"/>
          <w:color w:val="000000" w:themeColor="text1"/>
          <w14:textFill>
            <w14:solidFill>
              <w14:schemeClr w14:val="tx1"/>
            </w14:solidFill>
          </w14:textFill>
        </w:rPr>
        <w:t>；</w:t>
      </w:r>
    </w:p>
    <w:p w14:paraId="17ED320B">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应有能力对学员和1级人员提供必要的指导和监督；</w:t>
      </w:r>
    </w:p>
    <w:p w14:paraId="17ED320C">
      <w:pPr>
        <w:pStyle w:val="48"/>
        <w:rPr>
          <w:color w:val="000000" w:themeColor="text1"/>
          <w14:textFill>
            <w14:solidFill>
              <w14:schemeClr w14:val="tx1"/>
            </w14:solidFill>
          </w14:textFill>
        </w:rPr>
      </w:pPr>
      <w:r>
        <w:rPr>
          <w:rFonts w:hint="eastAsia"/>
          <w:color w:val="0000FF"/>
        </w:rPr>
        <w:t>应熟悉用于控制雇主所用方法的法规、标准以及其他的合同文件</w:t>
      </w:r>
      <w:r>
        <w:rPr>
          <w:rFonts w:hint="eastAsia"/>
          <w:color w:val="000000" w:themeColor="text1"/>
          <w14:textFill>
            <w14:solidFill>
              <w14:schemeClr w14:val="tx1"/>
            </w14:solidFill>
          </w14:textFill>
        </w:rPr>
        <w:t>；</w:t>
      </w:r>
    </w:p>
    <w:p w14:paraId="17ED320D">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当书面实施规程有规定时，能够根据批准的通用</w:t>
      </w:r>
      <w:r>
        <w:rPr>
          <w:rFonts w:hint="eastAsia"/>
          <w:color w:val="0000FF"/>
        </w:rPr>
        <w:t>工艺规程</w:t>
      </w:r>
      <w:r>
        <w:rPr>
          <w:rFonts w:hint="eastAsia"/>
          <w:color w:val="000000" w:themeColor="text1"/>
          <w14:textFill>
            <w14:solidFill>
              <w14:schemeClr w14:val="tx1"/>
            </w14:solidFill>
          </w14:textFill>
        </w:rPr>
        <w:t>编制</w:t>
      </w:r>
      <w:r>
        <w:rPr>
          <w:color w:val="000000" w:themeColor="text1"/>
          <w14:textFill>
            <w14:solidFill>
              <w14:schemeClr w14:val="tx1"/>
            </w14:solidFill>
          </w14:textFill>
        </w:rPr>
        <w:t>作业</w:t>
      </w:r>
      <w:r>
        <w:rPr>
          <w:rFonts w:hint="eastAsia"/>
          <w:color w:val="000000" w:themeColor="text1"/>
          <w14:textFill>
            <w14:solidFill>
              <w14:schemeClr w14:val="tx1"/>
            </w14:solidFill>
          </w14:textFill>
        </w:rPr>
        <w:t>指导书。此类</w:t>
      </w:r>
      <w:r>
        <w:rPr>
          <w:color w:val="000000" w:themeColor="text1"/>
          <w14:textFill>
            <w14:solidFill>
              <w14:schemeClr w14:val="tx1"/>
            </w14:solidFill>
          </w14:textFill>
        </w:rPr>
        <w:t>作业</w:t>
      </w:r>
      <w:r>
        <w:rPr>
          <w:rFonts w:hint="eastAsia"/>
          <w:color w:val="000000" w:themeColor="text1"/>
          <w14:textFill>
            <w14:solidFill>
              <w14:schemeClr w14:val="tx1"/>
            </w14:solidFill>
          </w14:textFill>
        </w:rPr>
        <w:t>指导书应由该方法的3级人员最终批准；</w:t>
      </w:r>
    </w:p>
    <w:p w14:paraId="17ED320E">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应具备相关产品的制造和检测技术的基本知识；</w:t>
      </w:r>
    </w:p>
    <w:p w14:paraId="17ED320F">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当书面实施规程有规定时，具备飞机、动力装置或航空器附件维修方面的基本知识。</w:t>
      </w:r>
    </w:p>
    <w:p w14:paraId="1149B8BE">
      <w:pPr>
        <w:pStyle w:val="42"/>
        <w:spacing w:before="156" w:after="156"/>
      </w:pPr>
      <w:bookmarkStart w:id="1093" w:name="_Toc240124622"/>
      <w:r>
        <w:rPr>
          <w:rFonts w:hint="eastAsia"/>
        </w:rPr>
        <w:t>3级人员</w:t>
      </w:r>
      <w:bookmarkEnd w:id="1093"/>
    </w:p>
    <w:p w14:paraId="17ED3211">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在所认证的方法内，3级人员：</w:t>
      </w:r>
    </w:p>
    <w:p w14:paraId="17ED3212">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应具备解释用来控制</w:t>
      </w:r>
      <w:r>
        <w:rPr>
          <w:color w:val="000000" w:themeColor="text1"/>
          <w14:textFill>
            <w14:solidFill>
              <w14:schemeClr w14:val="tx1"/>
            </w14:solidFill>
          </w14:textFill>
        </w:rPr>
        <w:t>NDT</w:t>
      </w:r>
      <w:r>
        <w:rPr>
          <w:rFonts w:hint="eastAsia"/>
          <w:color w:val="000000" w:themeColor="text1"/>
          <w14:textFill>
            <w14:solidFill>
              <w14:schemeClr w14:val="tx1"/>
            </w14:solidFill>
          </w14:textFill>
        </w:rPr>
        <w:t>方法的法规、标准和其他合同文件的知识和技能；</w:t>
      </w:r>
    </w:p>
    <w:p w14:paraId="17ED3213">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应有能力对NDT设施和人员承担技术责任；</w:t>
      </w:r>
    </w:p>
    <w:p w14:paraId="17ED3214">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应有能力选择适用于专项检测的方法和技术；</w:t>
      </w:r>
    </w:p>
    <w:p w14:paraId="17ED3215">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应有能力</w:t>
      </w:r>
      <w:r>
        <w:rPr>
          <w:rFonts w:hint="eastAsia"/>
          <w:color w:val="0000FF"/>
        </w:rPr>
        <w:t>编制工艺规程</w:t>
      </w:r>
      <w:r>
        <w:rPr>
          <w:rFonts w:hint="eastAsia"/>
          <w:color w:val="000000" w:themeColor="text1"/>
          <w14:textFill>
            <w14:solidFill>
              <w14:schemeClr w14:val="tx1"/>
            </w14:solidFill>
          </w14:textFill>
        </w:rPr>
        <w:t>和</w:t>
      </w:r>
      <w:r>
        <w:rPr>
          <w:color w:val="000000" w:themeColor="text1"/>
          <w14:textFill>
            <w14:solidFill>
              <w14:schemeClr w14:val="tx1"/>
            </w14:solidFill>
          </w14:textFill>
        </w:rPr>
        <w:t>作业</w:t>
      </w:r>
      <w:r>
        <w:rPr>
          <w:rFonts w:hint="eastAsia"/>
          <w:color w:val="000000" w:themeColor="text1"/>
          <w14:textFill>
            <w14:solidFill>
              <w14:schemeClr w14:val="tx1"/>
            </w14:solidFill>
          </w14:textFill>
        </w:rPr>
        <w:t>指导书并证明其合理性；</w:t>
      </w:r>
    </w:p>
    <w:p w14:paraId="17ED3216">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对</w:t>
      </w:r>
      <w:r>
        <w:rPr>
          <w:rFonts w:hint="eastAsia"/>
          <w:color w:val="0000FF"/>
        </w:rPr>
        <w:t>工艺规程</w:t>
      </w:r>
      <w:r>
        <w:rPr>
          <w:rFonts w:hint="eastAsia"/>
          <w:color w:val="000000" w:themeColor="text1"/>
          <w14:textFill>
            <w14:solidFill>
              <w14:schemeClr w14:val="tx1"/>
            </w14:solidFill>
          </w14:textFill>
        </w:rPr>
        <w:t>和</w:t>
      </w:r>
      <w:r>
        <w:rPr>
          <w:color w:val="000000" w:themeColor="text1"/>
          <w14:textFill>
            <w14:solidFill>
              <w14:schemeClr w14:val="tx1"/>
            </w14:solidFill>
          </w14:textFill>
        </w:rPr>
        <w:t>作业</w:t>
      </w:r>
      <w:r>
        <w:rPr>
          <w:rFonts w:hint="eastAsia"/>
          <w:color w:val="000000" w:themeColor="text1"/>
          <w14:textFill>
            <w14:solidFill>
              <w14:schemeClr w14:val="tx1"/>
            </w14:solidFill>
          </w14:textFill>
        </w:rPr>
        <w:t>指导书的技术合理性进行</w:t>
      </w:r>
      <w:r>
        <w:rPr>
          <w:rFonts w:hint="eastAsia"/>
          <w:color w:val="0000FF"/>
        </w:rPr>
        <w:t>批准</w:t>
      </w:r>
      <w:r>
        <w:rPr>
          <w:rFonts w:hint="eastAsia"/>
          <w:color w:val="000000" w:themeColor="text1"/>
          <w14:textFill>
            <w14:solidFill>
              <w14:schemeClr w14:val="tx1"/>
            </w14:solidFill>
          </w14:textFill>
        </w:rPr>
        <w:t>；</w:t>
      </w:r>
    </w:p>
    <w:p w14:paraId="17ED3217">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应具备雇主</w:t>
      </w:r>
      <w:r>
        <w:rPr>
          <w:rFonts w:hint="eastAsia"/>
          <w:color w:val="0000FF"/>
        </w:rPr>
        <w:t>使用的其它NDT方法、产品加工和相关工序以及检测技术</w:t>
      </w:r>
      <w:r>
        <w:rPr>
          <w:rFonts w:hint="eastAsia"/>
          <w:color w:val="000000" w:themeColor="text1"/>
          <w14:textFill>
            <w14:solidFill>
              <w14:schemeClr w14:val="tx1"/>
            </w14:solidFill>
          </w14:textFill>
        </w:rPr>
        <w:t>的一般知识；</w:t>
      </w:r>
    </w:p>
    <w:p w14:paraId="17ED3218">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当书面实施规程有规定时，具备飞机、动力装置或航空器附件维修方面的基本知识；</w:t>
      </w:r>
    </w:p>
    <w:p w14:paraId="17ED3219">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应有能力</w:t>
      </w:r>
      <w:r>
        <w:rPr>
          <w:rFonts w:hint="eastAsia" w:ascii="Arial" w:cs="Arial"/>
          <w:color w:val="000000" w:themeColor="text1"/>
          <w14:textFill>
            <w14:solidFill>
              <w14:schemeClr w14:val="tx1"/>
            </w14:solidFill>
          </w14:textFill>
        </w:rPr>
        <w:t>指导或直接对人员实施培训、</w:t>
      </w:r>
      <w:r>
        <w:rPr>
          <w:rFonts w:hint="eastAsia"/>
          <w:color w:val="000000" w:themeColor="text1"/>
          <w14:textFill>
            <w14:solidFill>
              <w14:schemeClr w14:val="tx1"/>
            </w14:solidFill>
          </w14:textFill>
        </w:rPr>
        <w:t>考试以及认证工作；</w:t>
      </w:r>
    </w:p>
    <w:p w14:paraId="17ED321A">
      <w:pPr>
        <w:pStyle w:val="48"/>
        <w:rPr>
          <w:color w:val="000000" w:themeColor="text1"/>
          <w14:textFill>
            <w14:solidFill>
              <w14:schemeClr w14:val="tx1"/>
            </w14:solidFill>
          </w14:textFill>
        </w:rPr>
      </w:pPr>
      <w:r>
        <w:rPr>
          <w:rFonts w:hint="eastAsia" w:ascii="Arial" w:cs="Arial"/>
          <w:color w:val="000000" w:themeColor="text1"/>
          <w14:textFill>
            <w14:solidFill>
              <w14:schemeClr w14:val="tx1"/>
            </w14:solidFill>
          </w14:textFill>
        </w:rPr>
        <w:t>如果</w:t>
      </w:r>
      <w:r>
        <w:rPr>
          <w:rFonts w:hint="eastAsia"/>
          <w:color w:val="000000" w:themeColor="text1"/>
          <w14:textFill>
            <w14:solidFill>
              <w14:schemeClr w14:val="tx1"/>
            </w14:solidFill>
          </w14:textFill>
        </w:rPr>
        <w:t>通过实际操作考试并证明具备熟练操作能力时，可以从事产品NDT的接收或拒收和结果备案工作；</w:t>
      </w:r>
    </w:p>
    <w:p w14:paraId="17ED321B">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当书面实施规程要求时，有能力对外界代理进行审核，以保证满足</w:t>
      </w:r>
      <w:r>
        <w:rPr>
          <w:rFonts w:hint="eastAsia"/>
          <w:color w:val="0000FF"/>
        </w:rPr>
        <w:t>书面</w:t>
      </w:r>
      <w:r>
        <w:rPr>
          <w:rFonts w:hint="eastAsia"/>
          <w:color w:val="000000" w:themeColor="text1"/>
          <w14:textFill>
            <w14:solidFill>
              <w14:schemeClr w14:val="tx1"/>
            </w14:solidFill>
          </w14:textFill>
        </w:rPr>
        <w:t>实施规程的要求。</w:t>
      </w:r>
    </w:p>
    <w:p w14:paraId="17ED321C">
      <w:pPr>
        <w:pStyle w:val="42"/>
        <w:spacing w:before="156" w:after="156"/>
      </w:pPr>
      <w:bookmarkStart w:id="1094" w:name="_Toc240124623"/>
      <w:r>
        <w:rPr>
          <w:rFonts w:hint="eastAsia"/>
        </w:rPr>
        <w:t>审核员</w:t>
      </w:r>
      <w:bookmarkEnd w:id="1094"/>
    </w:p>
    <w:p w14:paraId="28CBCA30">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实施NDT技术审核、调查、以及评估的</w:t>
      </w:r>
      <w:r>
        <w:rPr>
          <w:rFonts w:hint="eastAsia"/>
          <w:color w:val="0000FF"/>
        </w:rPr>
        <w:t>雇主</w:t>
      </w:r>
      <w:r>
        <w:rPr>
          <w:rFonts w:hint="eastAsia"/>
          <w:color w:val="000000" w:themeColor="text1"/>
          <w14:textFill>
            <w14:solidFill>
              <w14:schemeClr w14:val="tx1"/>
            </w14:solidFill>
          </w14:textFill>
        </w:rPr>
        <w:t>审核员：</w:t>
      </w:r>
    </w:p>
    <w:p w14:paraId="36B8D5ED">
      <w:pPr>
        <w:pStyle w:val="48"/>
        <w:ind w:left="833"/>
        <w:rPr>
          <w:color w:val="0000FF"/>
        </w:rPr>
      </w:pPr>
      <w:r>
        <w:rPr>
          <w:rFonts w:hint="eastAsia"/>
          <w:color w:val="0000FF"/>
        </w:rPr>
        <w:t>应由责任3级人员指派；</w:t>
      </w:r>
    </w:p>
    <w:p w14:paraId="5E748D45">
      <w:pPr>
        <w:pStyle w:val="48"/>
        <w:ind w:left="833"/>
        <w:rPr>
          <w:color w:val="000000" w:themeColor="text1"/>
          <w14:textFill>
            <w14:solidFill>
              <w14:schemeClr w14:val="tx1"/>
            </w14:solidFill>
          </w14:textFill>
        </w:rPr>
      </w:pPr>
      <w:r>
        <w:rPr>
          <w:rFonts w:hint="eastAsia"/>
          <w:color w:val="000000" w:themeColor="text1"/>
          <w14:textFill>
            <w14:solidFill>
              <w14:schemeClr w14:val="tx1"/>
            </w14:solidFill>
          </w14:textFill>
        </w:rPr>
        <w:t>应接受必要的培训，以具备理解NDT方法所使用的</w:t>
      </w:r>
      <w:r>
        <w:rPr>
          <w:rFonts w:hint="eastAsia"/>
          <w:color w:val="0000FF"/>
        </w:rPr>
        <w:t>流程和工艺规程</w:t>
      </w:r>
      <w:r>
        <w:rPr>
          <w:rFonts w:hint="eastAsia"/>
          <w:color w:val="000000" w:themeColor="text1"/>
          <w14:textFill>
            <w14:solidFill>
              <w14:schemeClr w14:val="tx1"/>
            </w14:solidFill>
          </w14:textFill>
        </w:rPr>
        <w:t>的知识和技能；</w:t>
      </w:r>
    </w:p>
    <w:p w14:paraId="17ED321E">
      <w:pPr>
        <w:pStyle w:val="48"/>
        <w:ind w:left="833"/>
        <w:rPr>
          <w:color w:val="000000" w:themeColor="text1"/>
          <w14:textFill>
            <w14:solidFill>
              <w14:schemeClr w14:val="tx1"/>
            </w14:solidFill>
          </w14:textFill>
        </w:rPr>
      </w:pPr>
      <w:r>
        <w:rPr>
          <w:rFonts w:hint="eastAsia"/>
          <w:color w:val="0000FF"/>
        </w:rPr>
        <w:t>应熟悉控制适用方法的法规、标准和其他合同文件</w:t>
      </w:r>
      <w:r>
        <w:rPr>
          <w:rFonts w:hint="eastAsia"/>
          <w:color w:val="000000" w:themeColor="text1"/>
          <w14:textFill>
            <w14:solidFill>
              <w14:schemeClr w14:val="tx1"/>
            </w14:solidFill>
          </w14:textFill>
        </w:rPr>
        <w:t>。</w:t>
      </w:r>
    </w:p>
    <w:p w14:paraId="17ED321F">
      <w:pPr>
        <w:pStyle w:val="45"/>
        <w:spacing w:before="312" w:after="312"/>
        <w:rPr>
          <w:color w:val="000000" w:themeColor="text1"/>
          <w14:textFill>
            <w14:solidFill>
              <w14:schemeClr w14:val="tx1"/>
            </w14:solidFill>
          </w14:textFill>
        </w:rPr>
      </w:pPr>
      <w:bookmarkStart w:id="1095" w:name="_Toc316393934"/>
      <w:bookmarkStart w:id="1096" w:name="_Toc240124624"/>
      <w:bookmarkStart w:id="1097" w:name="_Toc314487184"/>
      <w:bookmarkStart w:id="1098" w:name="_Toc303780201"/>
      <w:bookmarkStart w:id="1099" w:name="_Toc303149790"/>
      <w:bookmarkStart w:id="1100" w:name="_Toc314478379"/>
      <w:bookmarkStart w:id="1101" w:name="_Toc303149824"/>
      <w:bookmarkStart w:id="1102" w:name="_Toc309649103"/>
      <w:r>
        <w:rPr>
          <w:rFonts w:hint="eastAsia"/>
          <w:color w:val="000000" w:themeColor="text1"/>
          <w14:textFill>
            <w14:solidFill>
              <w14:schemeClr w14:val="tx1"/>
            </w14:solidFill>
          </w14:textFill>
        </w:rPr>
        <w:t>培训和经历</w:t>
      </w:r>
      <w:bookmarkEnd w:id="1095"/>
      <w:bookmarkEnd w:id="1096"/>
      <w:bookmarkEnd w:id="1097"/>
      <w:bookmarkEnd w:id="1098"/>
      <w:bookmarkEnd w:id="1099"/>
      <w:bookmarkEnd w:id="1100"/>
      <w:bookmarkEnd w:id="1101"/>
      <w:bookmarkEnd w:id="1102"/>
    </w:p>
    <w:p w14:paraId="17ED3220">
      <w:pPr>
        <w:pStyle w:val="42"/>
        <w:spacing w:before="156" w:after="156"/>
        <w:rPr>
          <w:rFonts w:hint="eastAsia" w:hAnsi="宋体"/>
          <w:color w:val="000000" w:themeColor="text1"/>
          <w14:textFill>
            <w14:solidFill>
              <w14:schemeClr w14:val="tx1"/>
            </w14:solidFill>
          </w14:textFill>
        </w:rPr>
      </w:pPr>
      <w:bookmarkStart w:id="1103" w:name="_Toc309649104"/>
      <w:bookmarkStart w:id="1104" w:name="_Toc314487185"/>
      <w:bookmarkStart w:id="1105" w:name="_Toc65300345"/>
      <w:bookmarkStart w:id="1106" w:name="_Toc303149825"/>
      <w:bookmarkStart w:id="1107" w:name="_Toc303069595"/>
      <w:bookmarkStart w:id="1108" w:name="_Toc316393935"/>
      <w:bookmarkStart w:id="1109" w:name="_Toc303780202"/>
      <w:bookmarkStart w:id="1110" w:name="_Toc303149791"/>
      <w:bookmarkStart w:id="1111" w:name="_Toc61236776"/>
      <w:bookmarkStart w:id="1112" w:name="_Toc314478380"/>
      <w:bookmarkStart w:id="1113" w:name="_Toc62027871"/>
      <w:bookmarkStart w:id="1114" w:name="_Toc61427747"/>
      <w:bookmarkStart w:id="1115" w:name="_Toc50634230"/>
      <w:bookmarkStart w:id="1116" w:name="_Toc240124625"/>
      <w:r>
        <w:rPr>
          <w:rFonts w:hint="eastAsia"/>
          <w:color w:val="000000" w:themeColor="text1"/>
          <w14:textFill>
            <w14:solidFill>
              <w14:schemeClr w14:val="tx1"/>
            </w14:solidFill>
          </w14:textFill>
        </w:rPr>
        <w:t>培训</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r>
        <w:rPr>
          <w:rFonts w:hAnsi="宋体"/>
          <w:color w:val="000000" w:themeColor="text1"/>
          <w14:textFill>
            <w14:solidFill>
              <w14:schemeClr w14:val="tx1"/>
            </w14:solidFill>
          </w14:textFill>
        </w:rPr>
        <w:t xml:space="preserve"> </w:t>
      </w:r>
    </w:p>
    <w:p w14:paraId="17ED3221">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概述</w:t>
      </w:r>
    </w:p>
    <w:p w14:paraId="17ED3222">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所有等级认证的申请人员应</w:t>
      </w:r>
      <w:r>
        <w:rPr>
          <w:rFonts w:hint="eastAsia"/>
          <w:color w:val="0000FF"/>
        </w:rPr>
        <w:t>成功完成</w:t>
      </w:r>
      <w:r>
        <w:rPr>
          <w:rFonts w:hint="eastAsia"/>
          <w:color w:val="000000" w:themeColor="text1"/>
          <w14:textFill>
            <w14:solidFill>
              <w14:schemeClr w14:val="tx1"/>
            </w14:solidFill>
          </w14:textFill>
        </w:rPr>
        <w:t>足够的正规培训，以熟练掌握相应方法或技术的理论和实践知识并且有能力履行本标准第5章所规定的职责。正规培训应在岗位培训之前或与岗位培训同时进行。实施的所有培训应备案。</w:t>
      </w:r>
    </w:p>
    <w:p w14:paraId="17ED3223">
      <w:pPr>
        <w:pStyle w:val="24"/>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表1和表2给出了相应NDT方法1级和2级人员的最低培训学时。</w:t>
      </w:r>
      <w:r>
        <w:rPr>
          <w:rFonts w:hint="eastAsia"/>
          <w:color w:val="000000" w:themeColor="text1"/>
          <w:szCs w:val="21"/>
          <w14:textFill>
            <w14:solidFill>
              <w14:schemeClr w14:val="tx1"/>
            </w14:solidFill>
          </w14:textFill>
        </w:rPr>
        <w:t>之前没有</w:t>
      </w:r>
      <w:r>
        <w:rPr>
          <w:rFonts w:hint="eastAsia"/>
          <w:color w:val="0000FF"/>
          <w:szCs w:val="21"/>
        </w:rPr>
        <w:t>在相应方法上</w:t>
      </w:r>
      <w:r>
        <w:rPr>
          <w:rFonts w:hint="eastAsia"/>
          <w:color w:val="000000" w:themeColor="text1"/>
          <w:szCs w:val="21"/>
          <w14:textFill>
            <w14:solidFill>
              <w14:schemeClr w14:val="tx1"/>
            </w14:solidFill>
          </w14:textFill>
        </w:rPr>
        <w:t>认证为2级的人员不</w:t>
      </w:r>
      <w:r>
        <w:rPr>
          <w:rFonts w:hint="eastAsia"/>
          <w:color w:val="0000FF"/>
          <w:szCs w:val="21"/>
        </w:rPr>
        <w:t>能</w:t>
      </w:r>
      <w:r>
        <w:rPr>
          <w:rFonts w:hint="eastAsia"/>
          <w:color w:val="000000" w:themeColor="text1"/>
          <w:szCs w:val="21"/>
          <w14:textFill>
            <w14:solidFill>
              <w14:schemeClr w14:val="tx1"/>
            </w14:solidFill>
          </w14:textFill>
        </w:rPr>
        <w:t>进行3级资格认证。</w:t>
      </w:r>
    </w:p>
    <w:p w14:paraId="17ED3224">
      <w:pPr>
        <w:pStyle w:val="24"/>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对于已认证的射线</w:t>
      </w:r>
      <w:r>
        <w:rPr>
          <w:rFonts w:hint="eastAsia"/>
          <w:color w:val="0000FF"/>
          <w:szCs w:val="21"/>
        </w:rPr>
        <w:t>照相</w:t>
      </w:r>
      <w:r>
        <w:rPr>
          <w:rFonts w:hint="eastAsia"/>
          <w:color w:val="000000" w:themeColor="text1"/>
          <w:szCs w:val="21"/>
          <w14:textFill>
            <w14:solidFill>
              <w14:schemeClr w14:val="tx1"/>
            </w14:solidFill>
          </w14:textFill>
        </w:rPr>
        <w:t>检测方法的3级人员，应进行40学时的补充培训，才能实现射线胶片技术与非胶片技术之间的资格转换。</w:t>
      </w:r>
    </w:p>
    <w:p w14:paraId="17ED3225">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通用培训、专业培训以及实际操作培训可在雇主或外界代理处进行，但雇主应补充提供</w:t>
      </w:r>
      <w:r>
        <w:rPr>
          <w:rFonts w:hint="eastAsia"/>
          <w:color w:val="0000FF"/>
        </w:rPr>
        <w:t>岗位培训</w:t>
      </w:r>
      <w:r>
        <w:rPr>
          <w:rFonts w:hint="eastAsia"/>
          <w:color w:val="000000" w:themeColor="text1"/>
          <w14:textFill>
            <w14:solidFill>
              <w14:schemeClr w14:val="tx1"/>
            </w14:solidFill>
          </w14:textFill>
        </w:rPr>
        <w:t>。</w:t>
      </w:r>
    </w:p>
    <w:p w14:paraId="7CD970E2">
      <w:pPr>
        <w:pStyle w:val="24"/>
        <w:rPr>
          <w:color w:val="000000" w:themeColor="text1"/>
          <w14:textFill>
            <w14:solidFill>
              <w14:schemeClr w14:val="tx1"/>
            </w14:solidFill>
          </w14:textFill>
        </w:rPr>
      </w:pPr>
    </w:p>
    <w:p w14:paraId="7283AFCE">
      <w:pPr>
        <w:pStyle w:val="24"/>
        <w:rPr>
          <w:color w:val="000000" w:themeColor="text1"/>
          <w14:textFill>
            <w14:solidFill>
              <w14:schemeClr w14:val="tx1"/>
            </w14:solidFill>
          </w14:textFill>
        </w:rPr>
      </w:pPr>
    </w:p>
    <w:p w14:paraId="1A673F24">
      <w:pPr>
        <w:pStyle w:val="24"/>
        <w:rPr>
          <w:color w:val="000000" w:themeColor="text1"/>
          <w14:textFill>
            <w14:solidFill>
              <w14:schemeClr w14:val="tx1"/>
            </w14:solidFill>
          </w14:textFill>
        </w:rPr>
      </w:pPr>
    </w:p>
    <w:p w14:paraId="03580903">
      <w:pPr>
        <w:pStyle w:val="24"/>
        <w:rPr>
          <w:color w:val="000000" w:themeColor="text1"/>
          <w14:textFill>
            <w14:solidFill>
              <w14:schemeClr w14:val="tx1"/>
            </w14:solidFill>
          </w14:textFill>
        </w:rPr>
      </w:pPr>
    </w:p>
    <w:p w14:paraId="1FC23D5E">
      <w:pPr>
        <w:pStyle w:val="24"/>
        <w:ind w:firstLine="0" w:firstLineChars="0"/>
        <w:rPr>
          <w:color w:val="000000" w:themeColor="text1"/>
          <w14:textFill>
            <w14:solidFill>
              <w14:schemeClr w14:val="tx1"/>
            </w14:solidFill>
          </w14:textFill>
        </w:rPr>
      </w:pPr>
    </w:p>
    <w:p w14:paraId="17ED3226">
      <w:pPr>
        <w:pStyle w:val="126"/>
        <w:wordWrap w:val="0"/>
        <w:spacing w:before="156" w:after="156"/>
        <w:rPr>
          <w:color w:val="000000" w:themeColor="text1"/>
          <w:kern w:val="2"/>
          <w:szCs w:val="24"/>
          <w14:textFill>
            <w14:solidFill>
              <w14:schemeClr w14:val="tx1"/>
            </w14:solidFill>
          </w14:textFill>
        </w:rPr>
      </w:pPr>
      <w:bookmarkStart w:id="1117" w:name="_Toc50625107"/>
      <w:r>
        <w:rPr>
          <w:rFonts w:hint="eastAsia" w:hAnsi="宋体"/>
          <w:color w:val="000000" w:themeColor="text1"/>
          <w14:textFill>
            <w14:solidFill>
              <w14:schemeClr w14:val="tx1"/>
            </w14:solidFill>
          </w14:textFill>
        </w:rPr>
        <w:t xml:space="preserve">                        表1   1</w:t>
      </w:r>
      <w:r>
        <w:rPr>
          <w:color w:val="000000" w:themeColor="text1"/>
          <w14:textFill>
            <w14:solidFill>
              <w14:schemeClr w14:val="tx1"/>
            </w14:solidFill>
          </w14:textFill>
        </w:rPr>
        <w:t>级和</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级人员最低</w:t>
      </w:r>
      <w:r>
        <w:rPr>
          <w:rFonts w:hint="eastAsia"/>
          <w:color w:val="0000FF"/>
        </w:rPr>
        <w:t>正规培训</w:t>
      </w:r>
      <w:r>
        <w:rPr>
          <w:rFonts w:hint="eastAsia"/>
          <w:color w:val="000000" w:themeColor="text1"/>
          <w14:textFill>
            <w14:solidFill>
              <w14:schemeClr w14:val="tx1"/>
            </w14:solidFill>
          </w14:textFill>
        </w:rPr>
        <w:t>学</w:t>
      </w:r>
      <w:r>
        <w:rPr>
          <w:color w:val="000000" w:themeColor="text1"/>
          <w14:textFill>
            <w14:solidFill>
              <w14:schemeClr w14:val="tx1"/>
            </w14:solidFill>
          </w14:textFill>
        </w:rPr>
        <w:t>时</w:t>
      </w:r>
      <w:bookmarkEnd w:id="1117"/>
      <w:r>
        <w:rPr>
          <w:rFonts w:hint="eastAsia"/>
          <w:color w:val="000000" w:themeColor="text1"/>
          <w14:textFill>
            <w14:solidFill>
              <w14:schemeClr w14:val="tx1"/>
            </w14:solidFill>
          </w14:textFill>
        </w:rPr>
        <w:t xml:space="preserve">                  </w:t>
      </w:r>
      <w:r>
        <w:rPr>
          <w:rFonts w:hint="eastAsia" w:ascii="宋体" w:eastAsia="宋体"/>
          <w:color w:val="000000" w:themeColor="text1"/>
          <w:szCs w:val="21"/>
          <w14:textFill>
            <w14:solidFill>
              <w14:schemeClr w14:val="tx1"/>
            </w14:solidFill>
          </w14:textFill>
        </w:rPr>
        <w:t>单位为小时</w:t>
      </w:r>
    </w:p>
    <w:tbl>
      <w:tblPr>
        <w:tblStyle w:val="33"/>
        <w:tblW w:w="9345"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36"/>
        <w:gridCol w:w="2336"/>
        <w:gridCol w:w="2336"/>
        <w:gridCol w:w="2337"/>
      </w:tblGrid>
      <w:tr w14:paraId="17ED32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336" w:type="dxa"/>
            <w:tcBorders>
              <w:top w:val="single" w:color="auto" w:sz="4" w:space="0"/>
              <w:left w:val="single" w:color="auto" w:sz="4" w:space="0"/>
              <w:bottom w:val="single" w:color="auto" w:sz="4" w:space="0"/>
              <w:right w:val="single" w:color="auto" w:sz="4" w:space="0"/>
            </w:tcBorders>
          </w:tcPr>
          <w:p w14:paraId="17ED3227">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NDT方法</w:t>
            </w:r>
          </w:p>
        </w:tc>
        <w:tc>
          <w:tcPr>
            <w:tcW w:w="2336" w:type="dxa"/>
            <w:tcBorders>
              <w:top w:val="single" w:color="auto" w:sz="4" w:space="0"/>
              <w:left w:val="single" w:color="auto" w:sz="4" w:space="0"/>
              <w:bottom w:val="single" w:color="auto" w:sz="4" w:space="0"/>
              <w:right w:val="single" w:color="auto" w:sz="4" w:space="0"/>
            </w:tcBorders>
          </w:tcPr>
          <w:p w14:paraId="17ED3228">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1级</w:t>
            </w:r>
          </w:p>
        </w:tc>
        <w:tc>
          <w:tcPr>
            <w:tcW w:w="2336" w:type="dxa"/>
            <w:tcBorders>
              <w:top w:val="single" w:color="auto" w:sz="4" w:space="0"/>
              <w:left w:val="single" w:color="auto" w:sz="4" w:space="0"/>
              <w:bottom w:val="single" w:color="auto" w:sz="4" w:space="0"/>
              <w:right w:val="single" w:color="auto" w:sz="4" w:space="0"/>
            </w:tcBorders>
          </w:tcPr>
          <w:p w14:paraId="17ED3229">
            <w:pPr>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2级</w:t>
            </w:r>
          </w:p>
          <w:p w14:paraId="17ED322A">
            <w:pPr>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（具备1级</w:t>
            </w:r>
            <w:r>
              <w:rPr>
                <w:rFonts w:hint="eastAsia" w:ascii="宋体" w:hAnsi="Arial"/>
                <w:color w:val="0000FF"/>
                <w:sz w:val="18"/>
              </w:rPr>
              <w:t>认证</w:t>
            </w:r>
            <w:r>
              <w:rPr>
                <w:rFonts w:hint="eastAsia" w:ascii="宋体" w:hAnsi="Arial"/>
                <w:color w:val="000000" w:themeColor="text1"/>
                <w:sz w:val="18"/>
                <w14:textFill>
                  <w14:solidFill>
                    <w14:schemeClr w14:val="tx1"/>
                  </w14:solidFill>
                </w14:textFill>
              </w:rPr>
              <w:t>）</w:t>
            </w:r>
          </w:p>
        </w:tc>
        <w:tc>
          <w:tcPr>
            <w:tcW w:w="2337" w:type="dxa"/>
            <w:tcBorders>
              <w:top w:val="single" w:color="auto" w:sz="4" w:space="0"/>
              <w:left w:val="single" w:color="auto" w:sz="4" w:space="0"/>
              <w:bottom w:val="single" w:color="auto" w:sz="4" w:space="0"/>
              <w:right w:val="single" w:color="auto" w:sz="4" w:space="0"/>
            </w:tcBorders>
          </w:tcPr>
          <w:p w14:paraId="17ED322B">
            <w:pPr>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2级</w:t>
            </w:r>
          </w:p>
          <w:p w14:paraId="17ED322C">
            <w:pPr>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（不具备1级</w:t>
            </w:r>
            <w:r>
              <w:rPr>
                <w:rFonts w:hint="eastAsia" w:ascii="宋体" w:hAnsi="Arial"/>
                <w:color w:val="0000FF"/>
                <w:sz w:val="18"/>
              </w:rPr>
              <w:t>认证</w:t>
            </w:r>
            <w:r>
              <w:rPr>
                <w:rFonts w:hint="eastAsia" w:ascii="宋体" w:hAnsi="Arial"/>
                <w:color w:val="000000" w:themeColor="text1"/>
                <w:sz w:val="18"/>
                <w14:textFill>
                  <w14:solidFill>
                    <w14:schemeClr w14:val="tx1"/>
                  </w14:solidFill>
                </w14:textFill>
              </w:rPr>
              <w:t>）</w:t>
            </w:r>
          </w:p>
        </w:tc>
      </w:tr>
      <w:tr w14:paraId="17ED32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336" w:type="dxa"/>
            <w:tcBorders>
              <w:top w:val="single" w:color="auto" w:sz="4" w:space="0"/>
              <w:left w:val="single" w:color="auto" w:sz="4" w:space="0"/>
              <w:bottom w:val="single" w:color="auto" w:sz="4" w:space="0"/>
              <w:right w:val="single" w:color="auto" w:sz="4" w:space="0"/>
            </w:tcBorders>
          </w:tcPr>
          <w:p w14:paraId="17ED322E">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P</w:t>
            </w:r>
            <w:r>
              <w:rPr>
                <w:rFonts w:ascii="宋体" w:hAnsi="Arial"/>
                <w:color w:val="000000" w:themeColor="text1"/>
                <w:sz w:val="18"/>
                <w14:textFill>
                  <w14:solidFill>
                    <w14:schemeClr w14:val="tx1"/>
                  </w14:solidFill>
                </w14:textFill>
              </w:rPr>
              <w:t>T</w:t>
            </w:r>
          </w:p>
        </w:tc>
        <w:tc>
          <w:tcPr>
            <w:tcW w:w="2336" w:type="dxa"/>
            <w:tcBorders>
              <w:top w:val="single" w:color="auto" w:sz="4" w:space="0"/>
              <w:left w:val="single" w:color="auto" w:sz="4" w:space="0"/>
              <w:bottom w:val="single" w:color="auto" w:sz="4" w:space="0"/>
              <w:right w:val="single" w:color="auto" w:sz="4" w:space="0"/>
            </w:tcBorders>
          </w:tcPr>
          <w:p w14:paraId="17ED322F">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16</w:t>
            </w:r>
          </w:p>
        </w:tc>
        <w:tc>
          <w:tcPr>
            <w:tcW w:w="2336" w:type="dxa"/>
            <w:tcBorders>
              <w:top w:val="single" w:color="auto" w:sz="4" w:space="0"/>
              <w:left w:val="single" w:color="auto" w:sz="4" w:space="0"/>
              <w:bottom w:val="single" w:color="auto" w:sz="4" w:space="0"/>
              <w:right w:val="single" w:color="auto" w:sz="4" w:space="0"/>
            </w:tcBorders>
          </w:tcPr>
          <w:p w14:paraId="17ED3230">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16</w:t>
            </w:r>
          </w:p>
        </w:tc>
        <w:tc>
          <w:tcPr>
            <w:tcW w:w="2337" w:type="dxa"/>
            <w:tcBorders>
              <w:top w:val="single" w:color="auto" w:sz="4" w:space="0"/>
              <w:left w:val="single" w:color="auto" w:sz="4" w:space="0"/>
              <w:bottom w:val="single" w:color="auto" w:sz="4" w:space="0"/>
              <w:right w:val="single" w:color="auto" w:sz="4" w:space="0"/>
            </w:tcBorders>
          </w:tcPr>
          <w:p w14:paraId="17ED3231">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32</w:t>
            </w:r>
          </w:p>
        </w:tc>
      </w:tr>
      <w:tr w14:paraId="17ED32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336" w:type="dxa"/>
            <w:tcBorders>
              <w:top w:val="single" w:color="auto" w:sz="4" w:space="0"/>
              <w:left w:val="single" w:color="auto" w:sz="4" w:space="0"/>
              <w:bottom w:val="single" w:color="auto" w:sz="4" w:space="0"/>
              <w:right w:val="single" w:color="auto" w:sz="4" w:space="0"/>
            </w:tcBorders>
          </w:tcPr>
          <w:p w14:paraId="17ED3233">
            <w:pPr>
              <w:spacing w:line="400" w:lineRule="exact"/>
              <w:jc w:val="center"/>
              <w:rPr>
                <w:rFonts w:ascii="宋体" w:hAnsi="Arial"/>
                <w:color w:val="000000" w:themeColor="text1"/>
                <w:sz w:val="18"/>
                <w14:textFill>
                  <w14:solidFill>
                    <w14:schemeClr w14:val="tx1"/>
                  </w14:solidFill>
                </w14:textFill>
              </w:rPr>
            </w:pPr>
            <w:r>
              <w:rPr>
                <w:rFonts w:ascii="宋体" w:hAnsi="Arial"/>
                <w:color w:val="000000" w:themeColor="text1"/>
                <w:sz w:val="18"/>
                <w14:textFill>
                  <w14:solidFill>
                    <w14:schemeClr w14:val="tx1"/>
                  </w14:solidFill>
                </w14:textFill>
              </w:rPr>
              <w:t>MT</w:t>
            </w:r>
          </w:p>
        </w:tc>
        <w:tc>
          <w:tcPr>
            <w:tcW w:w="2336" w:type="dxa"/>
            <w:tcBorders>
              <w:top w:val="single" w:color="auto" w:sz="4" w:space="0"/>
              <w:left w:val="single" w:color="auto" w:sz="4" w:space="0"/>
              <w:bottom w:val="single" w:color="auto" w:sz="4" w:space="0"/>
              <w:right w:val="single" w:color="auto" w:sz="4" w:space="0"/>
            </w:tcBorders>
          </w:tcPr>
          <w:p w14:paraId="17ED3234">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16</w:t>
            </w:r>
          </w:p>
        </w:tc>
        <w:tc>
          <w:tcPr>
            <w:tcW w:w="2336" w:type="dxa"/>
            <w:tcBorders>
              <w:top w:val="single" w:color="auto" w:sz="4" w:space="0"/>
              <w:left w:val="single" w:color="auto" w:sz="4" w:space="0"/>
              <w:bottom w:val="single" w:color="auto" w:sz="4" w:space="0"/>
              <w:right w:val="single" w:color="auto" w:sz="4" w:space="0"/>
            </w:tcBorders>
          </w:tcPr>
          <w:p w14:paraId="17ED3235">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16</w:t>
            </w:r>
          </w:p>
        </w:tc>
        <w:tc>
          <w:tcPr>
            <w:tcW w:w="2337" w:type="dxa"/>
            <w:tcBorders>
              <w:top w:val="single" w:color="auto" w:sz="4" w:space="0"/>
              <w:left w:val="single" w:color="auto" w:sz="4" w:space="0"/>
              <w:bottom w:val="single" w:color="auto" w:sz="4" w:space="0"/>
              <w:right w:val="single" w:color="auto" w:sz="4" w:space="0"/>
            </w:tcBorders>
          </w:tcPr>
          <w:p w14:paraId="17ED3236">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32</w:t>
            </w:r>
          </w:p>
        </w:tc>
      </w:tr>
      <w:tr w14:paraId="17ED32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336" w:type="dxa"/>
            <w:tcBorders>
              <w:top w:val="single" w:color="auto" w:sz="4" w:space="0"/>
              <w:left w:val="single" w:color="auto" w:sz="4" w:space="0"/>
              <w:bottom w:val="single" w:color="auto" w:sz="4" w:space="0"/>
              <w:right w:val="single" w:color="auto" w:sz="4" w:space="0"/>
            </w:tcBorders>
          </w:tcPr>
          <w:p w14:paraId="17ED3238">
            <w:pPr>
              <w:spacing w:line="400" w:lineRule="exact"/>
              <w:jc w:val="center"/>
              <w:rPr>
                <w:rFonts w:ascii="宋体" w:hAnsi="Arial"/>
                <w:color w:val="000000" w:themeColor="text1"/>
                <w:sz w:val="18"/>
                <w14:textFill>
                  <w14:solidFill>
                    <w14:schemeClr w14:val="tx1"/>
                  </w14:solidFill>
                </w14:textFill>
              </w:rPr>
            </w:pPr>
            <w:r>
              <w:rPr>
                <w:rFonts w:ascii="宋体" w:hAnsi="Arial"/>
                <w:color w:val="000000" w:themeColor="text1"/>
                <w:sz w:val="18"/>
                <w14:textFill>
                  <w14:solidFill>
                    <w14:schemeClr w14:val="tx1"/>
                  </w14:solidFill>
                </w14:textFill>
              </w:rPr>
              <w:t>ET</w:t>
            </w:r>
          </w:p>
        </w:tc>
        <w:tc>
          <w:tcPr>
            <w:tcW w:w="2336" w:type="dxa"/>
            <w:tcBorders>
              <w:top w:val="single" w:color="auto" w:sz="4" w:space="0"/>
              <w:left w:val="single" w:color="auto" w:sz="4" w:space="0"/>
              <w:bottom w:val="single" w:color="auto" w:sz="4" w:space="0"/>
              <w:right w:val="single" w:color="auto" w:sz="4" w:space="0"/>
            </w:tcBorders>
          </w:tcPr>
          <w:p w14:paraId="17ED3239">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40</w:t>
            </w:r>
          </w:p>
        </w:tc>
        <w:tc>
          <w:tcPr>
            <w:tcW w:w="2336" w:type="dxa"/>
            <w:tcBorders>
              <w:top w:val="single" w:color="auto" w:sz="4" w:space="0"/>
              <w:left w:val="single" w:color="auto" w:sz="4" w:space="0"/>
              <w:bottom w:val="single" w:color="auto" w:sz="4" w:space="0"/>
              <w:right w:val="single" w:color="auto" w:sz="4" w:space="0"/>
            </w:tcBorders>
          </w:tcPr>
          <w:p w14:paraId="17ED323A">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40</w:t>
            </w:r>
          </w:p>
        </w:tc>
        <w:tc>
          <w:tcPr>
            <w:tcW w:w="2337" w:type="dxa"/>
            <w:tcBorders>
              <w:top w:val="single" w:color="auto" w:sz="4" w:space="0"/>
              <w:left w:val="single" w:color="auto" w:sz="4" w:space="0"/>
              <w:bottom w:val="single" w:color="auto" w:sz="4" w:space="0"/>
              <w:right w:val="single" w:color="auto" w:sz="4" w:space="0"/>
            </w:tcBorders>
          </w:tcPr>
          <w:p w14:paraId="17ED323B">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80</w:t>
            </w:r>
          </w:p>
        </w:tc>
      </w:tr>
      <w:tr w14:paraId="17ED32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336" w:type="dxa"/>
            <w:tcBorders>
              <w:top w:val="single" w:color="auto" w:sz="4" w:space="0"/>
              <w:left w:val="single" w:color="auto" w:sz="4" w:space="0"/>
              <w:bottom w:val="single" w:color="auto" w:sz="4" w:space="0"/>
              <w:right w:val="single" w:color="auto" w:sz="4" w:space="0"/>
            </w:tcBorders>
          </w:tcPr>
          <w:p w14:paraId="17ED323D">
            <w:pPr>
              <w:spacing w:line="400" w:lineRule="exact"/>
              <w:jc w:val="center"/>
              <w:rPr>
                <w:rFonts w:ascii="宋体" w:hAnsi="Arial"/>
                <w:color w:val="000000" w:themeColor="text1"/>
                <w:sz w:val="18"/>
                <w14:textFill>
                  <w14:solidFill>
                    <w14:schemeClr w14:val="tx1"/>
                  </w14:solidFill>
                </w14:textFill>
              </w:rPr>
            </w:pPr>
            <w:r>
              <w:rPr>
                <w:rFonts w:ascii="宋体" w:hAnsi="Arial"/>
                <w:color w:val="000000" w:themeColor="text1"/>
                <w:sz w:val="18"/>
                <w14:textFill>
                  <w14:solidFill>
                    <w14:schemeClr w14:val="tx1"/>
                  </w14:solidFill>
                </w14:textFill>
              </w:rPr>
              <w:t>UT</w:t>
            </w:r>
          </w:p>
        </w:tc>
        <w:tc>
          <w:tcPr>
            <w:tcW w:w="2336" w:type="dxa"/>
            <w:tcBorders>
              <w:top w:val="single" w:color="auto" w:sz="4" w:space="0"/>
              <w:left w:val="single" w:color="auto" w:sz="4" w:space="0"/>
              <w:bottom w:val="single" w:color="auto" w:sz="4" w:space="0"/>
              <w:right w:val="single" w:color="auto" w:sz="4" w:space="0"/>
            </w:tcBorders>
          </w:tcPr>
          <w:p w14:paraId="17ED323E">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40</w:t>
            </w:r>
          </w:p>
        </w:tc>
        <w:tc>
          <w:tcPr>
            <w:tcW w:w="2336" w:type="dxa"/>
            <w:tcBorders>
              <w:top w:val="single" w:color="auto" w:sz="4" w:space="0"/>
              <w:left w:val="single" w:color="auto" w:sz="4" w:space="0"/>
              <w:bottom w:val="single" w:color="auto" w:sz="4" w:space="0"/>
              <w:right w:val="single" w:color="auto" w:sz="4" w:space="0"/>
            </w:tcBorders>
          </w:tcPr>
          <w:p w14:paraId="17ED323F">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40</w:t>
            </w:r>
          </w:p>
        </w:tc>
        <w:tc>
          <w:tcPr>
            <w:tcW w:w="2337" w:type="dxa"/>
            <w:tcBorders>
              <w:top w:val="single" w:color="auto" w:sz="4" w:space="0"/>
              <w:left w:val="single" w:color="auto" w:sz="4" w:space="0"/>
              <w:bottom w:val="single" w:color="auto" w:sz="4" w:space="0"/>
              <w:right w:val="single" w:color="auto" w:sz="4" w:space="0"/>
            </w:tcBorders>
          </w:tcPr>
          <w:p w14:paraId="17ED3240">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80</w:t>
            </w:r>
          </w:p>
        </w:tc>
      </w:tr>
      <w:tr w14:paraId="17ED32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336" w:type="dxa"/>
            <w:tcBorders>
              <w:top w:val="single" w:color="auto" w:sz="4" w:space="0"/>
              <w:left w:val="single" w:color="auto" w:sz="4" w:space="0"/>
              <w:bottom w:val="single" w:color="auto" w:sz="4" w:space="0"/>
              <w:right w:val="single" w:color="auto" w:sz="4" w:space="0"/>
            </w:tcBorders>
          </w:tcPr>
          <w:p w14:paraId="17ED3242">
            <w:pPr>
              <w:spacing w:line="400" w:lineRule="exact"/>
              <w:jc w:val="center"/>
              <w:rPr>
                <w:rFonts w:ascii="宋体" w:hAnsi="Arial"/>
                <w:color w:val="000000" w:themeColor="text1"/>
                <w:sz w:val="18"/>
                <w14:textFill>
                  <w14:solidFill>
                    <w14:schemeClr w14:val="tx1"/>
                  </w14:solidFill>
                </w14:textFill>
              </w:rPr>
            </w:pPr>
            <w:r>
              <w:rPr>
                <w:rFonts w:hint="eastAsia" w:ascii="宋体"/>
                <w:color w:val="000000" w:themeColor="text1"/>
                <w:sz w:val="18"/>
                <w:szCs w:val="21"/>
                <w14:textFill>
                  <w14:solidFill>
                    <w14:schemeClr w14:val="tx1"/>
                  </w14:solidFill>
                </w14:textFill>
              </w:rPr>
              <w:t>IRT</w:t>
            </w:r>
          </w:p>
        </w:tc>
        <w:tc>
          <w:tcPr>
            <w:tcW w:w="2336" w:type="dxa"/>
            <w:tcBorders>
              <w:top w:val="single" w:color="auto" w:sz="4" w:space="0"/>
              <w:left w:val="single" w:color="auto" w:sz="4" w:space="0"/>
              <w:bottom w:val="single" w:color="auto" w:sz="4" w:space="0"/>
              <w:right w:val="single" w:color="auto" w:sz="4" w:space="0"/>
            </w:tcBorders>
          </w:tcPr>
          <w:p w14:paraId="17ED3243">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20</w:t>
            </w:r>
          </w:p>
        </w:tc>
        <w:tc>
          <w:tcPr>
            <w:tcW w:w="2336" w:type="dxa"/>
            <w:tcBorders>
              <w:top w:val="single" w:color="auto" w:sz="4" w:space="0"/>
              <w:left w:val="single" w:color="auto" w:sz="4" w:space="0"/>
              <w:bottom w:val="single" w:color="auto" w:sz="4" w:space="0"/>
              <w:right w:val="single" w:color="auto" w:sz="4" w:space="0"/>
            </w:tcBorders>
          </w:tcPr>
          <w:p w14:paraId="17ED3244">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40</w:t>
            </w:r>
          </w:p>
        </w:tc>
        <w:tc>
          <w:tcPr>
            <w:tcW w:w="2337" w:type="dxa"/>
            <w:tcBorders>
              <w:top w:val="single" w:color="auto" w:sz="4" w:space="0"/>
              <w:left w:val="single" w:color="auto" w:sz="4" w:space="0"/>
              <w:bottom w:val="single" w:color="auto" w:sz="4" w:space="0"/>
              <w:right w:val="single" w:color="auto" w:sz="4" w:space="0"/>
            </w:tcBorders>
          </w:tcPr>
          <w:p w14:paraId="17ED3245">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60</w:t>
            </w:r>
          </w:p>
        </w:tc>
      </w:tr>
      <w:tr w14:paraId="17ED32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336" w:type="dxa"/>
            <w:tcBorders>
              <w:top w:val="single" w:color="auto" w:sz="4" w:space="0"/>
              <w:left w:val="single" w:color="auto" w:sz="4" w:space="0"/>
              <w:bottom w:val="single" w:color="auto" w:sz="4" w:space="0"/>
              <w:right w:val="single" w:color="auto" w:sz="4" w:space="0"/>
            </w:tcBorders>
          </w:tcPr>
          <w:p w14:paraId="17ED3247">
            <w:pPr>
              <w:jc w:val="center"/>
              <w:rPr>
                <w:rFonts w:ascii="宋体" w:hAnsi="Arial"/>
                <w:color w:val="000000" w:themeColor="text1"/>
                <w:sz w:val="18"/>
                <w14:textFill>
                  <w14:solidFill>
                    <w14:schemeClr w14:val="tx1"/>
                  </w14:solidFill>
                </w14:textFill>
              </w:rPr>
            </w:pPr>
            <w:r>
              <w:rPr>
                <w:rFonts w:ascii="宋体" w:hAnsi="Arial"/>
                <w:color w:val="000000" w:themeColor="text1"/>
                <w:sz w:val="18"/>
                <w14:textFill>
                  <w14:solidFill>
                    <w14:schemeClr w14:val="tx1"/>
                  </w14:solidFill>
                </w14:textFill>
              </w:rPr>
              <w:t>RT</w:t>
            </w:r>
          </w:p>
          <w:p w14:paraId="17ED3248">
            <w:pPr>
              <w:pStyle w:val="24"/>
              <w:ind w:firstLine="0" w:firstLineChars="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胶片或非胶片技术</w:t>
            </w:r>
          </w:p>
        </w:tc>
        <w:tc>
          <w:tcPr>
            <w:tcW w:w="2336" w:type="dxa"/>
            <w:tcBorders>
              <w:top w:val="single" w:color="auto" w:sz="4" w:space="0"/>
              <w:left w:val="single" w:color="auto" w:sz="4" w:space="0"/>
              <w:bottom w:val="single" w:color="auto" w:sz="4" w:space="0"/>
              <w:right w:val="single" w:color="auto" w:sz="4" w:space="0"/>
            </w:tcBorders>
          </w:tcPr>
          <w:p w14:paraId="17ED3249">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40</w:t>
            </w:r>
          </w:p>
        </w:tc>
        <w:tc>
          <w:tcPr>
            <w:tcW w:w="2336" w:type="dxa"/>
            <w:tcBorders>
              <w:top w:val="single" w:color="auto" w:sz="4" w:space="0"/>
              <w:left w:val="single" w:color="auto" w:sz="4" w:space="0"/>
              <w:bottom w:val="single" w:color="auto" w:sz="4" w:space="0"/>
              <w:right w:val="single" w:color="auto" w:sz="4" w:space="0"/>
            </w:tcBorders>
          </w:tcPr>
          <w:p w14:paraId="17ED324A">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40</w:t>
            </w:r>
          </w:p>
        </w:tc>
        <w:tc>
          <w:tcPr>
            <w:tcW w:w="2337" w:type="dxa"/>
            <w:tcBorders>
              <w:top w:val="single" w:color="auto" w:sz="4" w:space="0"/>
              <w:left w:val="single" w:color="auto" w:sz="4" w:space="0"/>
              <w:bottom w:val="single" w:color="auto" w:sz="4" w:space="0"/>
              <w:right w:val="single" w:color="auto" w:sz="4" w:space="0"/>
            </w:tcBorders>
          </w:tcPr>
          <w:p w14:paraId="17ED324B">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80</w:t>
            </w:r>
          </w:p>
        </w:tc>
      </w:tr>
      <w:tr w14:paraId="17ED32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336" w:type="dxa"/>
            <w:tcBorders>
              <w:top w:val="single" w:color="auto" w:sz="4" w:space="0"/>
              <w:left w:val="single" w:color="auto" w:sz="4" w:space="0"/>
              <w:bottom w:val="single" w:color="auto" w:sz="4" w:space="0"/>
              <w:right w:val="single" w:color="auto" w:sz="4" w:space="0"/>
            </w:tcBorders>
          </w:tcPr>
          <w:p w14:paraId="17ED324D">
            <w:pPr>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RT</w:t>
            </w:r>
          </w:p>
          <w:p w14:paraId="17ED324E">
            <w:pPr>
              <w:jc w:val="center"/>
              <w:rPr>
                <w:rFonts w:ascii="宋体"/>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胶片和非胶片技术</w:t>
            </w:r>
          </w:p>
        </w:tc>
        <w:tc>
          <w:tcPr>
            <w:tcW w:w="2336" w:type="dxa"/>
            <w:tcBorders>
              <w:top w:val="single" w:color="auto" w:sz="4" w:space="0"/>
              <w:left w:val="single" w:color="auto" w:sz="4" w:space="0"/>
              <w:bottom w:val="single" w:color="auto" w:sz="4" w:space="0"/>
              <w:right w:val="single" w:color="auto" w:sz="4" w:space="0"/>
            </w:tcBorders>
          </w:tcPr>
          <w:p w14:paraId="17ED324F">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60</w:t>
            </w:r>
          </w:p>
        </w:tc>
        <w:tc>
          <w:tcPr>
            <w:tcW w:w="2336" w:type="dxa"/>
            <w:tcBorders>
              <w:top w:val="single" w:color="auto" w:sz="4" w:space="0"/>
              <w:left w:val="single" w:color="auto" w:sz="4" w:space="0"/>
              <w:bottom w:val="single" w:color="auto" w:sz="4" w:space="0"/>
              <w:right w:val="single" w:color="auto" w:sz="4" w:space="0"/>
            </w:tcBorders>
          </w:tcPr>
          <w:p w14:paraId="17ED3250">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60</w:t>
            </w:r>
          </w:p>
        </w:tc>
        <w:tc>
          <w:tcPr>
            <w:tcW w:w="2337" w:type="dxa"/>
            <w:tcBorders>
              <w:top w:val="single" w:color="auto" w:sz="4" w:space="0"/>
              <w:left w:val="single" w:color="auto" w:sz="4" w:space="0"/>
              <w:bottom w:val="single" w:color="auto" w:sz="4" w:space="0"/>
              <w:right w:val="single" w:color="auto" w:sz="4" w:space="0"/>
            </w:tcBorders>
          </w:tcPr>
          <w:p w14:paraId="17ED3251">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120</w:t>
            </w:r>
          </w:p>
        </w:tc>
      </w:tr>
    </w:tbl>
    <w:p w14:paraId="17ED3255">
      <w:pPr>
        <w:pStyle w:val="24"/>
        <w:spacing w:before="156" w:beforeLines="50" w:after="156" w:afterLines="50"/>
        <w:ind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ascii="黑体" w:hAnsi="黑体" w:eastAsia="黑体" w:cs="黑体"/>
          <w:color w:val="000000" w:themeColor="text1"/>
          <w14:textFill>
            <w14:solidFill>
              <w14:schemeClr w14:val="tx1"/>
            </w14:solidFill>
          </w14:textFill>
        </w:rPr>
        <w:t xml:space="preserve">表2   </w:t>
      </w:r>
      <w:r>
        <w:rPr>
          <w:rFonts w:hint="eastAsia" w:ascii="黑体" w:hAnsi="黑体" w:eastAsia="黑体" w:cs="黑体"/>
          <w:color w:val="0000FF"/>
        </w:rPr>
        <w:t>射线照相检测胶片或非胶片技术转换的正规培训学时</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单位为小时</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9"/>
        <w:gridCol w:w="2924"/>
        <w:gridCol w:w="3301"/>
      </w:tblGrid>
      <w:tr w14:paraId="17ED3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0" w:type="dxa"/>
            <w:gridSpan w:val="3"/>
          </w:tcPr>
          <w:p w14:paraId="17ED3256">
            <w:pPr>
              <w:pStyle w:val="24"/>
              <w:ind w:firstLine="360"/>
              <w:jc w:val="center"/>
              <w:rPr>
                <w:color w:val="000000" w:themeColor="text1"/>
                <w:sz w:val="18"/>
                <w:szCs w:val="18"/>
                <w14:textFill>
                  <w14:solidFill>
                    <w14:schemeClr w14:val="tx1"/>
                  </w14:solidFill>
                </w14:textFill>
              </w:rPr>
            </w:pPr>
            <w:r>
              <w:rPr>
                <w:rFonts w:hint="eastAsia"/>
                <w:color w:val="0000FF"/>
                <w:sz w:val="18"/>
                <w:szCs w:val="18"/>
              </w:rPr>
              <w:t>附加的正规培训时间</w:t>
            </w:r>
          </w:p>
        </w:tc>
      </w:tr>
      <w:tr w14:paraId="17ED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7ED3258">
            <w:pPr>
              <w:pStyle w:val="24"/>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1级转1级</w:t>
            </w:r>
          </w:p>
        </w:tc>
        <w:tc>
          <w:tcPr>
            <w:tcW w:w="2989" w:type="dxa"/>
          </w:tcPr>
          <w:p w14:paraId="17ED3259">
            <w:pPr>
              <w:pStyle w:val="24"/>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2级转2级</w:t>
            </w:r>
          </w:p>
        </w:tc>
        <w:tc>
          <w:tcPr>
            <w:tcW w:w="3391" w:type="dxa"/>
          </w:tcPr>
          <w:p w14:paraId="17ED325A">
            <w:pPr>
              <w:pStyle w:val="24"/>
              <w:ind w:firstLine="0" w:firstLineChars="0"/>
              <w:jc w:val="center"/>
              <w:rPr>
                <w:color w:val="000000" w:themeColor="text1"/>
                <w:sz w:val="18"/>
                <w:szCs w:val="18"/>
                <w14:textFill>
                  <w14:solidFill>
                    <w14:schemeClr w14:val="tx1"/>
                  </w14:solidFill>
                </w14:textFill>
              </w:rPr>
            </w:pPr>
            <w:r>
              <w:rPr>
                <w:rFonts w:hint="eastAsia"/>
                <w:color w:val="0000FF"/>
                <w:sz w:val="18"/>
                <w:szCs w:val="18"/>
              </w:rPr>
              <w:t>1级转2级胶片和非胶片技术</w:t>
            </w:r>
          </w:p>
        </w:tc>
      </w:tr>
      <w:tr w14:paraId="17ED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7ED325C">
            <w:pPr>
              <w:pStyle w:val="24"/>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w:t>
            </w:r>
          </w:p>
        </w:tc>
        <w:tc>
          <w:tcPr>
            <w:tcW w:w="2989" w:type="dxa"/>
          </w:tcPr>
          <w:p w14:paraId="17ED325D">
            <w:pPr>
              <w:pStyle w:val="24"/>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3391" w:type="dxa"/>
          </w:tcPr>
          <w:p w14:paraId="17ED325E">
            <w:pPr>
              <w:pStyle w:val="24"/>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80</w:t>
            </w:r>
          </w:p>
        </w:tc>
      </w:tr>
    </w:tbl>
    <w:p w14:paraId="17ED3261">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培训大纲</w:t>
      </w:r>
    </w:p>
    <w:p w14:paraId="17ED3262">
      <w:pPr>
        <w:pStyle w:val="24"/>
        <w:rPr>
          <w:rFonts w:hAnsi="Arial"/>
          <w:color w:val="000000" w:themeColor="text1"/>
          <w14:textFill>
            <w14:solidFill>
              <w14:schemeClr w14:val="tx1"/>
            </w14:solidFill>
          </w14:textFill>
        </w:rPr>
      </w:pPr>
      <w:r>
        <w:rPr>
          <w:rFonts w:hint="eastAsia"/>
          <w:color w:val="000000" w:themeColor="text1"/>
          <w14:textFill>
            <w14:solidFill>
              <w14:schemeClr w14:val="tx1"/>
            </w14:solidFill>
          </w14:textFill>
        </w:rPr>
        <w:t>所有培训应依据责任3级人员</w:t>
      </w:r>
      <w:r>
        <w:rPr>
          <w:rFonts w:hint="eastAsia"/>
          <w:color w:val="0000FF"/>
        </w:rPr>
        <w:t>或主考人</w:t>
      </w:r>
      <w:r>
        <w:rPr>
          <w:rFonts w:hint="eastAsia"/>
          <w:color w:val="000000" w:themeColor="text1"/>
          <w14:textFill>
            <w14:solidFill>
              <w14:schemeClr w14:val="tx1"/>
            </w14:solidFill>
          </w14:textFill>
        </w:rPr>
        <w:t>批准的详细的培训大纲进行。培训</w:t>
      </w:r>
      <w:r>
        <w:rPr>
          <w:rFonts w:hint="eastAsia" w:hAnsi="Arial"/>
          <w:color w:val="000000" w:themeColor="text1"/>
          <w14:textFill>
            <w14:solidFill>
              <w14:schemeClr w14:val="tx1"/>
            </w14:solidFill>
          </w14:textFill>
        </w:rPr>
        <w:t>大纲应包括培训材料所引用的参考资料清单。培训至少应包括：</w:t>
      </w:r>
    </w:p>
    <w:p w14:paraId="17ED3263">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基础理论；</w:t>
      </w:r>
    </w:p>
    <w:p w14:paraId="17ED3264">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检测原理，包括</w:t>
      </w:r>
      <w:r>
        <w:rPr>
          <w:color w:val="000000" w:themeColor="text1"/>
          <w14:textFill>
            <w14:solidFill>
              <w14:schemeClr w14:val="tx1"/>
            </w14:solidFill>
          </w14:textFill>
        </w:rPr>
        <w:t>NDT</w:t>
      </w:r>
      <w:r>
        <w:rPr>
          <w:rFonts w:hint="eastAsia"/>
          <w:color w:val="000000" w:themeColor="text1"/>
          <w14:textFill>
            <w14:solidFill>
              <w14:schemeClr w14:val="tx1"/>
            </w14:solidFill>
          </w14:textFill>
        </w:rPr>
        <w:t>方法的选择，和不同材料、零件及测试变量的关联性；</w:t>
      </w:r>
    </w:p>
    <w:p w14:paraId="17ED3265">
      <w:pPr>
        <w:pStyle w:val="48"/>
        <w:rPr>
          <w:color w:val="000000" w:themeColor="text1"/>
          <w14:textFill>
            <w14:solidFill>
              <w14:schemeClr w14:val="tx1"/>
            </w14:solidFill>
          </w14:textFill>
        </w:rPr>
      </w:pPr>
      <w:r>
        <w:rPr>
          <w:rFonts w:hint="eastAsia" w:ascii="Arial" w:cs="Arial"/>
          <w:color w:val="000000" w:themeColor="text1"/>
          <w14:textFill>
            <w14:solidFill>
              <w14:schemeClr w14:val="tx1"/>
            </w14:solidFill>
          </w14:textFill>
        </w:rPr>
        <w:t>产品结构和材料，缺陷的形成和特征；</w:t>
      </w:r>
    </w:p>
    <w:p w14:paraId="17ED3266">
      <w:pPr>
        <w:pStyle w:val="48"/>
        <w:rPr>
          <w:color w:val="000000" w:themeColor="text1"/>
          <w14:textFill>
            <w14:solidFill>
              <w14:schemeClr w14:val="tx1"/>
            </w14:solidFill>
          </w14:textFill>
        </w:rPr>
      </w:pPr>
      <w:r>
        <w:rPr>
          <w:rFonts w:hint="eastAsia" w:ascii="Arial" w:cs="Arial"/>
          <w:color w:val="000000" w:themeColor="text1"/>
          <w14:textFill>
            <w14:solidFill>
              <w14:schemeClr w14:val="tx1"/>
            </w14:solidFill>
          </w14:textFill>
        </w:rPr>
        <w:t>设备操作和</w:t>
      </w:r>
      <w:r>
        <w:rPr>
          <w:rFonts w:hint="eastAsia" w:ascii="Arial" w:cs="Arial"/>
          <w:color w:val="0000FF"/>
        </w:rPr>
        <w:t>调校</w:t>
      </w:r>
      <w:r>
        <w:rPr>
          <w:rFonts w:hint="eastAsia" w:ascii="Arial" w:cs="Arial"/>
          <w:color w:val="000000" w:themeColor="text1"/>
          <w14:textFill>
            <w14:solidFill>
              <w14:schemeClr w14:val="tx1"/>
            </w14:solidFill>
          </w14:textFill>
        </w:rPr>
        <w:t>；</w:t>
      </w:r>
    </w:p>
    <w:p w14:paraId="17ED3267">
      <w:pPr>
        <w:pStyle w:val="48"/>
        <w:rPr>
          <w:color w:val="000000" w:themeColor="text1"/>
          <w14:textFill>
            <w14:solidFill>
              <w14:schemeClr w14:val="tx1"/>
            </w14:solidFill>
          </w14:textFill>
        </w:rPr>
      </w:pPr>
      <w:r>
        <w:rPr>
          <w:rFonts w:hint="eastAsia" w:ascii="Arial" w:cs="Arial"/>
          <w:color w:val="000000" w:themeColor="text1"/>
          <w14:textFill>
            <w14:solidFill>
              <w14:schemeClr w14:val="tx1"/>
            </w14:solidFill>
          </w14:textFill>
        </w:rPr>
        <w:t>工艺控制的重要性；</w:t>
      </w:r>
    </w:p>
    <w:p w14:paraId="17ED3268">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合适的工艺步骤和参数的重要性</w:t>
      </w:r>
      <w:r>
        <w:rPr>
          <w:rFonts w:hint="eastAsia" w:ascii="Arial" w:cs="Arial"/>
          <w:color w:val="000000" w:themeColor="text1"/>
          <w14:textFill>
            <w14:solidFill>
              <w14:schemeClr w14:val="tx1"/>
            </w14:solidFill>
          </w14:textFill>
        </w:rPr>
        <w:t>；</w:t>
      </w:r>
    </w:p>
    <w:p w14:paraId="17ED3269">
      <w:pPr>
        <w:pStyle w:val="48"/>
        <w:rPr>
          <w:color w:val="000000" w:themeColor="text1"/>
          <w14:textFill>
            <w14:solidFill>
              <w14:schemeClr w14:val="tx1"/>
            </w14:solidFill>
          </w14:textFill>
        </w:rPr>
      </w:pPr>
      <w:r>
        <w:rPr>
          <w:rFonts w:hint="eastAsia" w:ascii="Arial" w:cs="Arial"/>
          <w:color w:val="000000" w:themeColor="text1"/>
          <w14:textFill>
            <w14:solidFill>
              <w14:schemeClr w14:val="tx1"/>
            </w14:solidFill>
          </w14:textFill>
        </w:rPr>
        <w:t>安全事项；</w:t>
      </w:r>
    </w:p>
    <w:p w14:paraId="17ED326A">
      <w:pPr>
        <w:pStyle w:val="48"/>
        <w:rPr>
          <w:color w:val="000000" w:themeColor="text1"/>
          <w14:textFill>
            <w14:solidFill>
              <w14:schemeClr w14:val="tx1"/>
            </w14:solidFill>
          </w14:textFill>
        </w:rPr>
      </w:pPr>
      <w:r>
        <w:rPr>
          <w:rFonts w:hint="eastAsia" w:ascii="Arial" w:cs="Arial"/>
          <w:color w:val="000000" w:themeColor="text1"/>
          <w14:textFill>
            <w14:solidFill>
              <w14:schemeClr w14:val="tx1"/>
            </w14:solidFill>
          </w14:textFill>
        </w:rPr>
        <w:t>适用的技术及每种技术的</w:t>
      </w:r>
      <w:r>
        <w:rPr>
          <w:rFonts w:hint="eastAsia" w:ascii="Arial" w:cs="Arial"/>
          <w:color w:val="0000FF"/>
        </w:rPr>
        <w:t>优缺点</w:t>
      </w:r>
      <w:r>
        <w:rPr>
          <w:rFonts w:hint="eastAsia" w:ascii="Arial" w:cs="Arial"/>
          <w:color w:val="000000" w:themeColor="text1"/>
          <w14:textFill>
            <w14:solidFill>
              <w14:schemeClr w14:val="tx1"/>
            </w14:solidFill>
          </w14:textFill>
        </w:rPr>
        <w:t>；</w:t>
      </w:r>
    </w:p>
    <w:p w14:paraId="17ED326B">
      <w:pPr>
        <w:pStyle w:val="48"/>
        <w:rPr>
          <w:color w:val="000000" w:themeColor="text1"/>
          <w14:textFill>
            <w14:solidFill>
              <w14:schemeClr w14:val="tx1"/>
            </w14:solidFill>
          </w14:textFill>
        </w:rPr>
      </w:pPr>
      <w:r>
        <w:rPr>
          <w:rFonts w:hint="eastAsia" w:ascii="Arial" w:cs="Arial"/>
          <w:color w:val="000000" w:themeColor="text1"/>
          <w14:textFill>
            <w14:solidFill>
              <w14:schemeClr w14:val="tx1"/>
            </w14:solidFill>
          </w14:textFill>
        </w:rPr>
        <w:t>每种方法和技术的功能和限制；</w:t>
      </w:r>
    </w:p>
    <w:p w14:paraId="17ED326C">
      <w:pPr>
        <w:pStyle w:val="48"/>
        <w:rPr>
          <w:color w:val="000000" w:themeColor="text1"/>
          <w14:textFill>
            <w14:solidFill>
              <w14:schemeClr w14:val="tx1"/>
            </w14:solidFill>
          </w14:textFill>
        </w:rPr>
      </w:pPr>
      <w:r>
        <w:rPr>
          <w:rFonts w:hint="eastAsia" w:ascii="Arial" w:cs="Arial"/>
          <w:color w:val="000000" w:themeColor="text1"/>
          <w14:textFill>
            <w14:solidFill>
              <w14:schemeClr w14:val="tx1"/>
            </w14:solidFill>
          </w14:textFill>
        </w:rPr>
        <w:t>适用的规范、法规、操作</w:t>
      </w:r>
      <w:r>
        <w:rPr>
          <w:rFonts w:hint="eastAsia" w:ascii="Arial" w:cs="Arial"/>
          <w:color w:val="0000FF"/>
        </w:rPr>
        <w:t>工艺规程</w:t>
      </w:r>
      <w:r>
        <w:rPr>
          <w:rFonts w:hint="eastAsia" w:ascii="Arial" w:cs="Arial"/>
          <w:color w:val="000000" w:themeColor="text1"/>
          <w14:textFill>
            <w14:solidFill>
              <w14:schemeClr w14:val="tx1"/>
            </w14:solidFill>
          </w14:textFill>
        </w:rPr>
        <w:t>和</w:t>
      </w:r>
      <w:r>
        <w:rPr>
          <w:rFonts w:ascii="Arial" w:cs="Arial"/>
          <w:color w:val="000000" w:themeColor="text1"/>
          <w14:textFill>
            <w14:solidFill>
              <w14:schemeClr w14:val="tx1"/>
            </w14:solidFill>
          </w14:textFill>
        </w:rPr>
        <w:t>作业</w:t>
      </w:r>
      <w:r>
        <w:rPr>
          <w:rFonts w:hint="eastAsia" w:ascii="Arial" w:cs="Arial"/>
          <w:color w:val="000000" w:themeColor="text1"/>
          <w14:textFill>
            <w14:solidFill>
              <w14:schemeClr w14:val="tx1"/>
            </w14:solidFill>
          </w14:textFill>
        </w:rPr>
        <w:t>指导书；</w:t>
      </w:r>
    </w:p>
    <w:p w14:paraId="17ED326D">
      <w:pPr>
        <w:pStyle w:val="48"/>
        <w:rPr>
          <w:color w:val="000000" w:themeColor="text1"/>
          <w14:textFill>
            <w14:solidFill>
              <w14:schemeClr w14:val="tx1"/>
            </w14:solidFill>
          </w14:textFill>
        </w:rPr>
      </w:pPr>
      <w:r>
        <w:rPr>
          <w:rFonts w:hint="eastAsia" w:ascii="Arial" w:cs="Arial"/>
          <w:color w:val="000000" w:themeColor="text1"/>
          <w14:textFill>
            <w14:solidFill>
              <w14:schemeClr w14:val="tx1"/>
            </w14:solidFill>
          </w14:textFill>
        </w:rPr>
        <w:t>如适用，评价、解释和记录结果。</w:t>
      </w:r>
    </w:p>
    <w:p w14:paraId="17ED326E">
      <w:pPr>
        <w:pStyle w:val="24"/>
      </w:pPr>
      <w:r>
        <w:rPr>
          <w:rFonts w:hint="eastAsia" w:ascii="Arial" w:hAnsi="Arial" w:cs="Arial"/>
          <w:color w:val="0000FF"/>
        </w:rPr>
        <w:t>如果是外界代理提供培训，则责任</w:t>
      </w:r>
      <w:r>
        <w:rPr>
          <w:rFonts w:ascii="Arial" w:hAnsi="Arial" w:cs="Arial"/>
          <w:color w:val="0000FF"/>
        </w:rPr>
        <w:t>3</w:t>
      </w:r>
      <w:r>
        <w:rPr>
          <w:rFonts w:hint="eastAsia" w:ascii="Arial" w:hAnsi="Arial" w:cs="Arial"/>
          <w:color w:val="0000FF"/>
        </w:rPr>
        <w:t>级人员应确认该培训满足</w:t>
      </w:r>
      <w:r>
        <w:rPr>
          <w:rFonts w:hint="eastAsia" w:hAnsi="Arial"/>
          <w:color w:val="0000FF"/>
        </w:rPr>
        <w:t>雇主要求</w:t>
      </w:r>
      <w:r>
        <w:rPr>
          <w:rFonts w:hint="eastAsia" w:hAnsi="Arial"/>
          <w:color w:val="000000" w:themeColor="text1"/>
          <w14:textFill>
            <w14:solidFill>
              <w14:schemeClr w14:val="tx1"/>
            </w14:solidFill>
          </w14:textFill>
        </w:rPr>
        <w:t>。</w:t>
      </w:r>
    </w:p>
    <w:p w14:paraId="17ED326F">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先前的培训</w:t>
      </w:r>
    </w:p>
    <w:p w14:paraId="29B754F5">
      <w:pPr>
        <w:pStyle w:val="24"/>
        <w:rPr>
          <w:color w:val="000000" w:themeColor="text1"/>
          <w14:textFill>
            <w14:solidFill>
              <w14:schemeClr w14:val="tx1"/>
            </w14:solidFill>
          </w14:textFill>
        </w:rPr>
      </w:pPr>
      <w:r>
        <w:rPr>
          <w:rFonts w:hint="eastAsia"/>
          <w:color w:val="0000FF"/>
        </w:rPr>
        <w:t>对于已认可其先前培训的人员</w:t>
      </w:r>
      <w:r>
        <w:rPr>
          <w:rFonts w:hint="eastAsia"/>
          <w:color w:val="000000" w:themeColor="text1"/>
          <w14:textFill>
            <w14:solidFill>
              <w14:schemeClr w14:val="tx1"/>
            </w14:solidFill>
          </w14:textFill>
        </w:rPr>
        <w:t>或培训后在12个月内未获得认证的人员，应接受恢复性培训。先前接受的培训应备案以便被雇主接受。恢复性培训的课程应至少包括：</w:t>
      </w:r>
    </w:p>
    <w:p w14:paraId="71E308D4">
      <w:pPr>
        <w:pStyle w:val="48"/>
        <w:rPr>
          <w:color w:val="0000FF"/>
        </w:rPr>
      </w:pPr>
      <w:r>
        <w:rPr>
          <w:rFonts w:hint="eastAsia" w:ascii="Arial" w:cs="Arial"/>
          <w:color w:val="0000FF"/>
        </w:rPr>
        <w:t>产品</w:t>
      </w:r>
      <w:r>
        <w:rPr>
          <w:rFonts w:hint="eastAsia"/>
          <w:color w:val="0000FF"/>
        </w:rPr>
        <w:t>；</w:t>
      </w:r>
    </w:p>
    <w:p w14:paraId="7B500D63">
      <w:pPr>
        <w:pStyle w:val="48"/>
        <w:rPr>
          <w:color w:val="0000FF"/>
        </w:rPr>
      </w:pPr>
      <w:r>
        <w:rPr>
          <w:rFonts w:hint="eastAsia"/>
          <w:color w:val="0000FF"/>
        </w:rPr>
        <w:t>设备设置、操作和调校；</w:t>
      </w:r>
    </w:p>
    <w:p w14:paraId="41334816">
      <w:pPr>
        <w:pStyle w:val="48"/>
        <w:rPr>
          <w:color w:val="0000FF"/>
        </w:rPr>
      </w:pPr>
      <w:r>
        <w:rPr>
          <w:rFonts w:hint="eastAsia"/>
          <w:color w:val="0000FF"/>
        </w:rPr>
        <w:t>特定的操作工艺规程；</w:t>
      </w:r>
    </w:p>
    <w:p w14:paraId="372B472F">
      <w:pPr>
        <w:pStyle w:val="48"/>
        <w:rPr>
          <w:color w:val="0000FF"/>
        </w:rPr>
      </w:pPr>
      <w:r>
        <w:rPr>
          <w:rFonts w:hint="eastAsia"/>
          <w:color w:val="0000FF"/>
        </w:rPr>
        <w:t>适用的技术；</w:t>
      </w:r>
    </w:p>
    <w:p w14:paraId="00B1E86A">
      <w:pPr>
        <w:pStyle w:val="48"/>
        <w:rPr>
          <w:color w:val="0000FF"/>
        </w:rPr>
      </w:pPr>
      <w:r>
        <w:rPr>
          <w:rFonts w:hint="eastAsia"/>
          <w:color w:val="0000FF"/>
        </w:rPr>
        <w:t>解释和评价检测结果；</w:t>
      </w:r>
    </w:p>
    <w:p w14:paraId="0E325F5A">
      <w:pPr>
        <w:pStyle w:val="48"/>
        <w:rPr>
          <w:color w:val="0000FF"/>
        </w:rPr>
      </w:pPr>
      <w:r>
        <w:rPr>
          <w:rFonts w:hint="eastAsia"/>
          <w:color w:val="0000FF"/>
        </w:rPr>
        <w:t>安全；</w:t>
      </w:r>
    </w:p>
    <w:p w14:paraId="427115AB">
      <w:pPr>
        <w:pStyle w:val="48"/>
        <w:rPr>
          <w:color w:val="0000FF"/>
        </w:rPr>
      </w:pPr>
      <w:r>
        <w:rPr>
          <w:rFonts w:hint="eastAsia"/>
          <w:color w:val="0000FF"/>
        </w:rPr>
        <w:t>适用的法规、标准和规范。</w:t>
      </w:r>
    </w:p>
    <w:p w14:paraId="17ED3270">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当责任3级人员或主考人对先前培训的充分性和等效性进行了认可时，先前培训的记录可以不是原始记录。</w:t>
      </w:r>
    </w:p>
    <w:p w14:paraId="17ED3271">
      <w:pPr>
        <w:pStyle w:val="46"/>
        <w:spacing w:before="156" w:after="156"/>
        <w:ind w:left="0"/>
        <w:rPr>
          <w:color w:val="000000" w:themeColor="text1"/>
          <w14:textFill>
            <w14:solidFill>
              <w14:schemeClr w14:val="tx1"/>
            </w14:solidFill>
          </w14:textFill>
        </w:rPr>
      </w:pPr>
      <w:r>
        <w:rPr>
          <w:color w:val="000000" w:themeColor="text1"/>
          <w14:textFill>
            <w14:solidFill>
              <w14:schemeClr w14:val="tx1"/>
            </w14:solidFill>
          </w14:textFill>
        </w:rPr>
        <w:t>等效培训</w:t>
      </w:r>
    </w:p>
    <w:p w14:paraId="17ED3272">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先前根</w:t>
      </w:r>
      <w:r>
        <w:rPr>
          <w:rFonts w:hint="eastAsia"/>
          <w:color w:val="0000FF"/>
        </w:rPr>
        <w:t>据</w:t>
      </w:r>
      <w:r>
        <w:rPr>
          <w:color w:val="0000FF"/>
        </w:rPr>
        <w:t>T/C</w:t>
      </w:r>
      <w:r>
        <w:rPr>
          <w:rFonts w:hint="eastAsia"/>
          <w:color w:val="0000FF"/>
        </w:rPr>
        <w:t>AMAC0001、</w:t>
      </w:r>
      <w:r>
        <w:rPr>
          <w:color w:val="0000FF"/>
        </w:rPr>
        <w:t>NAS</w:t>
      </w:r>
      <w:r>
        <w:rPr>
          <w:rFonts w:hint="eastAsia"/>
          <w:color w:val="0000FF"/>
        </w:rPr>
        <w:t>410、EN4179或其他认可的NDT资格鉴定体系认证的</w:t>
      </w:r>
      <w:r>
        <w:rPr>
          <w:rFonts w:hint="eastAsia"/>
          <w:color w:val="000000" w:themeColor="text1"/>
          <w14:textFill>
            <w14:solidFill>
              <w14:schemeClr w14:val="tx1"/>
            </w14:solidFill>
          </w14:textFill>
        </w:rPr>
        <w:t>人员，</w:t>
      </w:r>
      <w:r>
        <w:rPr>
          <w:rFonts w:hint="eastAsia"/>
          <w:color w:val="0000FF"/>
        </w:rPr>
        <w:t>应由责任3级人员或主考人确定其先前培训相较于表1和表2要求的充分性和等效性，并将评定结果备案</w:t>
      </w:r>
      <w:r>
        <w:rPr>
          <w:rFonts w:hint="eastAsia"/>
          <w:color w:val="000000" w:themeColor="text1"/>
          <w14:textFill>
            <w14:solidFill>
              <w14:schemeClr w14:val="tx1"/>
            </w14:solidFill>
          </w14:textFill>
        </w:rPr>
        <w:t>。根据情况，先前培训的学时可全部或部分被接受。</w:t>
      </w:r>
    </w:p>
    <w:p w14:paraId="17ED3273">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健康和安全培训</w:t>
      </w:r>
    </w:p>
    <w:p w14:paraId="17ED3276">
      <w:pPr>
        <w:pStyle w:val="24"/>
        <w:rPr>
          <w:rFonts w:hint="eastAsia" w:hAnsi="宋体" w:cs="Arial"/>
          <w:color w:val="000000" w:themeColor="text1"/>
          <w14:textFill>
            <w14:solidFill>
              <w14:schemeClr w14:val="tx1"/>
            </w14:solidFill>
          </w14:textFill>
        </w:rPr>
      </w:pPr>
      <w:r>
        <w:rPr>
          <w:rFonts w:hint="eastAsia"/>
          <w:color w:val="000000" w:themeColor="text1"/>
          <w14:textFill>
            <w14:solidFill>
              <w14:schemeClr w14:val="tx1"/>
            </w14:solidFill>
          </w14:textFill>
        </w:rPr>
        <w:t>有关有害物质、事故预防、以及安全操作的所有法规和规章都应严格执行。应按照当地法规和规章制定相关的安全培训要求。申请射线</w:t>
      </w:r>
      <w:r>
        <w:rPr>
          <w:rFonts w:hint="eastAsia"/>
          <w:color w:val="0000FF"/>
        </w:rPr>
        <w:t>照相</w:t>
      </w:r>
      <w:r>
        <w:rPr>
          <w:rFonts w:hint="eastAsia"/>
          <w:color w:val="000000" w:themeColor="text1"/>
          <w14:textFill>
            <w14:solidFill>
              <w14:schemeClr w14:val="tx1"/>
            </w14:solidFill>
          </w14:textFill>
        </w:rPr>
        <w:t>检测资格鉴定的所有申请人在取得认证之前应经过有关电离辐射的危害和安全要求的培训，并且熟悉和遵守适用的法律、法规。</w:t>
      </w:r>
    </w:p>
    <w:p w14:paraId="17ED3277">
      <w:pPr>
        <w:pStyle w:val="42"/>
        <w:spacing w:before="156" w:after="156"/>
        <w:rPr>
          <w:color w:val="000000" w:themeColor="text1"/>
          <w14:textFill>
            <w14:solidFill>
              <w14:schemeClr w14:val="tx1"/>
            </w14:solidFill>
          </w14:textFill>
        </w:rPr>
      </w:pPr>
      <w:bookmarkStart w:id="1118" w:name="_Toc314487186"/>
      <w:bookmarkStart w:id="1119" w:name="_Toc303069596"/>
      <w:bookmarkStart w:id="1120" w:name="_Toc240124626"/>
      <w:bookmarkStart w:id="1121" w:name="_Toc303780203"/>
      <w:bookmarkStart w:id="1122" w:name="_Toc309649105"/>
      <w:bookmarkStart w:id="1123" w:name="_Toc314478381"/>
      <w:bookmarkStart w:id="1124" w:name="_Toc303149826"/>
      <w:bookmarkStart w:id="1125" w:name="_Toc303149792"/>
      <w:bookmarkStart w:id="1126" w:name="_Toc316393936"/>
      <w:r>
        <w:rPr>
          <w:rFonts w:hint="eastAsia"/>
          <w:color w:val="000000" w:themeColor="text1"/>
          <w14:textFill>
            <w14:solidFill>
              <w14:schemeClr w14:val="tx1"/>
            </w14:solidFill>
          </w14:textFill>
        </w:rPr>
        <w:t>培训和考试人员</w:t>
      </w:r>
      <w:bookmarkEnd w:id="1118"/>
      <w:bookmarkEnd w:id="1119"/>
      <w:bookmarkEnd w:id="1120"/>
      <w:bookmarkEnd w:id="1121"/>
      <w:bookmarkEnd w:id="1122"/>
      <w:bookmarkEnd w:id="1123"/>
      <w:bookmarkEnd w:id="1124"/>
      <w:bookmarkEnd w:id="1125"/>
      <w:bookmarkEnd w:id="1126"/>
    </w:p>
    <w:p w14:paraId="17ED327A">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主考人</w:t>
      </w:r>
    </w:p>
    <w:p w14:paraId="17ED327B">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主考人应由责任3级人员书面任命。所有主考人应按本标准取得人员资格</w:t>
      </w:r>
      <w:r>
        <w:rPr>
          <w:rFonts w:hint="eastAsia"/>
          <w:color w:val="0000FF"/>
        </w:rPr>
        <w:t>认证</w:t>
      </w:r>
      <w:r>
        <w:rPr>
          <w:rFonts w:hint="eastAsia"/>
          <w:color w:val="000000" w:themeColor="text1"/>
          <w14:textFill>
            <w14:solidFill>
              <w14:schemeClr w14:val="tx1"/>
            </w14:solidFill>
          </w14:textFill>
        </w:rPr>
        <w:t>。当由责任3级人员确定并备案后，</w:t>
      </w:r>
      <w:r>
        <w:rPr>
          <w:rFonts w:hint="eastAsia"/>
          <w:color w:val="0000FF"/>
        </w:rPr>
        <w:t>主考人可以对书面及实操考试进行准备、管理和评分</w:t>
      </w:r>
      <w:r>
        <w:rPr>
          <w:rFonts w:hint="eastAsia"/>
          <w:color w:val="000000" w:themeColor="text1"/>
          <w14:textFill>
            <w14:solidFill>
              <w14:schemeClr w14:val="tx1"/>
            </w14:solidFill>
          </w14:textFill>
        </w:rPr>
        <w:t>，并负责管理其已认证检测方法的所有或部分资格鉴定过程。</w:t>
      </w:r>
    </w:p>
    <w:p w14:paraId="17ED327C">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教员</w:t>
      </w:r>
    </w:p>
    <w:p w14:paraId="17ED327D">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教员应具备根据被批准的大纲制订计划、组织、提供课堂培训以及实际操作的技能和知识。教员应由责任3级人员</w:t>
      </w:r>
      <w:r>
        <w:rPr>
          <w:rFonts w:hint="eastAsia"/>
          <w:color w:val="0000FF"/>
        </w:rPr>
        <w:t>或主考人</w:t>
      </w:r>
      <w:r>
        <w:rPr>
          <w:rFonts w:hint="eastAsia"/>
          <w:color w:val="000000" w:themeColor="text1"/>
          <w14:textFill>
            <w14:solidFill>
              <w14:schemeClr w14:val="tx1"/>
            </w14:solidFill>
          </w14:textFill>
        </w:rPr>
        <w:t>指定或批准。</w:t>
      </w:r>
      <w:r>
        <w:rPr>
          <w:rFonts w:hint="eastAsia"/>
          <w:color w:val="0000FF"/>
        </w:rPr>
        <w:t>仅当经过责任3级人员指派，教员方可提供岗位培训</w:t>
      </w:r>
      <w:r>
        <w:rPr>
          <w:rFonts w:hint="eastAsia"/>
          <w:color w:val="000000" w:themeColor="text1"/>
          <w14:textFill>
            <w14:solidFill>
              <w14:schemeClr w14:val="tx1"/>
            </w14:solidFill>
          </w14:textFill>
        </w:rPr>
        <w:t>。</w:t>
      </w:r>
    </w:p>
    <w:p w14:paraId="17ED327E">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外界代理</w:t>
      </w:r>
    </w:p>
    <w:p w14:paraId="17ED327F">
      <w:pPr>
        <w:pStyle w:val="24"/>
        <w:rPr>
          <w:rFonts w:ascii="Arial" w:hAnsi="Arial"/>
          <w:color w:val="000000" w:themeColor="text1"/>
          <w14:textFill>
            <w14:solidFill>
              <w14:schemeClr w14:val="tx1"/>
            </w14:solidFill>
          </w14:textFill>
        </w:rPr>
      </w:pPr>
      <w:r>
        <w:rPr>
          <w:rFonts w:hint="eastAsia"/>
          <w:color w:val="000000" w:themeColor="text1"/>
          <w14:textFill>
            <w14:solidFill>
              <w14:schemeClr w14:val="tx1"/>
            </w14:solidFill>
          </w14:textFill>
        </w:rPr>
        <w:t>委托外界代理时，外界代理应向雇主提供教员或主考人的姓名、资格鉴定证明以及必要时提供资格认证证明。</w:t>
      </w:r>
    </w:p>
    <w:p w14:paraId="17ED3280">
      <w:pPr>
        <w:pStyle w:val="42"/>
        <w:spacing w:before="156" w:after="156"/>
        <w:rPr>
          <w:color w:val="000000" w:themeColor="text1"/>
          <w14:textFill>
            <w14:solidFill>
              <w14:schemeClr w14:val="tx1"/>
            </w14:solidFill>
          </w14:textFill>
        </w:rPr>
      </w:pPr>
      <w:bookmarkStart w:id="1127" w:name="_Toc303069597"/>
      <w:bookmarkStart w:id="1128" w:name="_Toc65300347"/>
      <w:bookmarkStart w:id="1129" w:name="_Toc303149827"/>
      <w:bookmarkStart w:id="1130" w:name="_Toc61427749"/>
      <w:bookmarkStart w:id="1131" w:name="_Toc50634232"/>
      <w:bookmarkStart w:id="1132" w:name="_Toc309649106"/>
      <w:bookmarkStart w:id="1133" w:name="_Toc316393937"/>
      <w:bookmarkStart w:id="1134" w:name="_Toc61236778"/>
      <w:bookmarkStart w:id="1135" w:name="_Toc314487187"/>
      <w:bookmarkStart w:id="1136" w:name="_Toc314478382"/>
      <w:bookmarkStart w:id="1137" w:name="_Toc303149793"/>
      <w:bookmarkStart w:id="1138" w:name="_Toc303780204"/>
      <w:bookmarkStart w:id="1139" w:name="_Toc62027873"/>
      <w:bookmarkStart w:id="1140" w:name="_Toc240124627"/>
      <w:r>
        <w:rPr>
          <w:color w:val="000000" w:themeColor="text1"/>
          <w14:textFill>
            <w14:solidFill>
              <w14:schemeClr w14:val="tx1"/>
            </w14:solidFill>
          </w14:textFill>
        </w:rPr>
        <w:t>经历</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r>
        <w:rPr>
          <w:color w:val="000000" w:themeColor="text1"/>
          <w14:textFill>
            <w14:solidFill>
              <w14:schemeClr w14:val="tx1"/>
            </w14:solidFill>
          </w14:textFill>
        </w:rPr>
        <w:t xml:space="preserve"> </w:t>
      </w:r>
    </w:p>
    <w:p w14:paraId="17ED3281">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概述</w:t>
      </w:r>
    </w:p>
    <w:p w14:paraId="60790AEC">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申请限定1级、1级、2级、3级资格认证的人员需要具备足够的实践经历，以保证其能够执行相应认证等级的职责。</w:t>
      </w:r>
      <w:r>
        <w:rPr>
          <w:rFonts w:hint="eastAsia"/>
          <w:color w:val="0000FF"/>
        </w:rPr>
        <w:t>实践经历应涵盖相应级别的相关技术、任务与职责。</w:t>
      </w:r>
    </w:p>
    <w:p w14:paraId="1C175830">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1级和2级最低经历要求见表3和表4以及章节6.4.3。</w:t>
      </w:r>
    </w:p>
    <w:p w14:paraId="77E3352D">
      <w:pPr>
        <w:pStyle w:val="24"/>
        <w:rPr>
          <w:color w:val="0000FF"/>
        </w:rPr>
      </w:pPr>
      <w:r>
        <w:rPr>
          <w:rFonts w:hint="eastAsia"/>
          <w:color w:val="0000FF"/>
        </w:rPr>
        <w:t>按书面实施规程的规定，经历应在同种方法的2级或3级人员监督下获得。经责任3级人员批准，同种方法的1级人员或教员可提供直接观察。学员的实践经历要有文件记录以备审查。记录包括学员名字、日期、所从事方法内活动的描述、小时数以及提供直接观察的认证人员签署。</w:t>
      </w:r>
    </w:p>
    <w:p w14:paraId="17ED3282">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3级最低经历要求见表5和</w:t>
      </w:r>
      <w:r>
        <w:rPr>
          <w:rFonts w:hAnsi="Arial"/>
          <w:color w:val="0000FF"/>
        </w:rPr>
        <w:t>6.4.4</w:t>
      </w:r>
      <w:r>
        <w:rPr>
          <w:rFonts w:hint="eastAsia"/>
          <w:color w:val="000000" w:themeColor="text1"/>
          <w14:textFill>
            <w14:solidFill>
              <w14:schemeClr w14:val="tx1"/>
            </w14:solidFill>
          </w14:textFill>
        </w:rPr>
        <w:t>。</w:t>
      </w:r>
      <w:r>
        <w:rPr>
          <w:rFonts w:hint="eastAsia"/>
          <w:color w:val="0000FF"/>
        </w:rPr>
        <w:t>作为满足表5经历要求的替代方式，申请人可通过附录C所述的能力证明获得3级鉴定资格。持有有效射线照相检测3级认证的人员进行胶片或非胶片技术转换时，应在考官、教员或外界代理的监督指导下附加240小时的经历。</w:t>
      </w:r>
    </w:p>
    <w:p w14:paraId="17ED3285">
      <w:pPr>
        <w:pStyle w:val="126"/>
        <w:spacing w:before="156" w:after="156"/>
        <w:ind w:right="420"/>
        <w:rPr>
          <w:color w:val="000000" w:themeColor="text1"/>
          <w14:textFill>
            <w14:solidFill>
              <w14:schemeClr w14:val="tx1"/>
            </w14:solidFill>
          </w14:textFill>
        </w:rPr>
      </w:pPr>
      <w:bookmarkStart w:id="1141" w:name="_Toc50625108"/>
      <w:r>
        <w:rPr>
          <w:rFonts w:hint="eastAsia"/>
          <w:color w:val="000000" w:themeColor="text1"/>
          <w14:textFill>
            <w14:solidFill>
              <w14:schemeClr w14:val="tx1"/>
            </w14:solidFill>
          </w14:textFill>
        </w:rPr>
        <w:t>表3  1级和2级人员</w:t>
      </w:r>
      <w:r>
        <w:rPr>
          <w:color w:val="000000" w:themeColor="text1"/>
          <w14:textFill>
            <w14:solidFill>
              <w14:schemeClr w14:val="tx1"/>
            </w14:solidFill>
          </w14:textFill>
        </w:rPr>
        <w:t>最低经历要求</w:t>
      </w:r>
      <w:bookmarkEnd w:id="1141"/>
    </w:p>
    <w:tbl>
      <w:tblPr>
        <w:tblStyle w:val="33"/>
        <w:tblW w:w="907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72"/>
        <w:gridCol w:w="2311"/>
        <w:gridCol w:w="2205"/>
        <w:gridCol w:w="2584"/>
      </w:tblGrid>
      <w:tr w14:paraId="17ED32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972" w:type="dxa"/>
            <w:vMerge w:val="restart"/>
            <w:tcBorders>
              <w:top w:val="single" w:color="auto" w:sz="4" w:space="0"/>
              <w:left w:val="single" w:color="auto" w:sz="4" w:space="0"/>
              <w:right w:val="single" w:color="auto" w:sz="4" w:space="0"/>
            </w:tcBorders>
            <w:vAlign w:val="center"/>
          </w:tcPr>
          <w:p w14:paraId="17ED3286">
            <w:pPr>
              <w:pStyle w:val="19"/>
              <w:snapToGrid/>
              <w:spacing w:line="400" w:lineRule="exact"/>
              <w:jc w:val="center"/>
              <w:rPr>
                <w:rFonts w:ascii="宋体" w:hAnsi="Arial"/>
                <w:color w:val="000000" w:themeColor="text1"/>
                <w:szCs w:val="24"/>
                <w14:textFill>
                  <w14:solidFill>
                    <w14:schemeClr w14:val="tx1"/>
                  </w14:solidFill>
                </w14:textFill>
              </w:rPr>
            </w:pPr>
            <w:r>
              <w:rPr>
                <w:rFonts w:hint="eastAsia" w:ascii="宋体" w:hAnsi="Arial"/>
                <w:color w:val="000000" w:themeColor="text1"/>
                <w:szCs w:val="24"/>
                <w14:textFill>
                  <w14:solidFill>
                    <w14:schemeClr w14:val="tx1"/>
                  </w14:solidFill>
                </w14:textFill>
              </w:rPr>
              <w:t>NDT方法</w:t>
            </w:r>
          </w:p>
        </w:tc>
        <w:tc>
          <w:tcPr>
            <w:tcW w:w="7100" w:type="dxa"/>
            <w:gridSpan w:val="3"/>
            <w:tcBorders>
              <w:top w:val="single" w:color="auto" w:sz="4" w:space="0"/>
              <w:left w:val="single" w:color="auto" w:sz="4" w:space="0"/>
              <w:bottom w:val="single" w:color="auto" w:sz="4" w:space="0"/>
              <w:right w:val="single" w:color="auto" w:sz="4" w:space="0"/>
            </w:tcBorders>
            <w:vAlign w:val="center"/>
          </w:tcPr>
          <w:p w14:paraId="17ED3287">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经历时间</w:t>
            </w:r>
            <w:r>
              <w:rPr>
                <w:rFonts w:hint="eastAsia" w:ascii="宋体" w:hAnsi="Arial"/>
                <w:color w:val="0000FF"/>
                <w:sz w:val="18"/>
              </w:rPr>
              <w:t>（单位：小时）</w:t>
            </w:r>
          </w:p>
        </w:tc>
      </w:tr>
      <w:tr w14:paraId="17ED32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972" w:type="dxa"/>
            <w:vMerge w:val="continue"/>
            <w:tcBorders>
              <w:left w:val="single" w:color="auto" w:sz="4" w:space="0"/>
              <w:bottom w:val="single" w:color="auto" w:sz="4" w:space="0"/>
              <w:right w:val="single" w:color="auto" w:sz="4" w:space="0"/>
            </w:tcBorders>
          </w:tcPr>
          <w:p w14:paraId="17ED3289">
            <w:pPr>
              <w:jc w:val="center"/>
              <w:rPr>
                <w:rFonts w:hint="eastAsia" w:ascii="宋体" w:hAnsi="宋体"/>
                <w:color w:val="000000" w:themeColor="text1"/>
                <w:sz w:val="18"/>
                <w14:textFill>
                  <w14:solidFill>
                    <w14:schemeClr w14:val="tx1"/>
                  </w14:solidFill>
                </w14:textFill>
              </w:rPr>
            </w:pPr>
          </w:p>
        </w:tc>
        <w:tc>
          <w:tcPr>
            <w:tcW w:w="2311" w:type="dxa"/>
            <w:tcBorders>
              <w:top w:val="single" w:color="auto" w:sz="4" w:space="0"/>
              <w:left w:val="single" w:color="auto" w:sz="4" w:space="0"/>
              <w:bottom w:val="single" w:color="auto" w:sz="4" w:space="0"/>
              <w:right w:val="single" w:color="auto" w:sz="4" w:space="0"/>
            </w:tcBorders>
            <w:vAlign w:val="center"/>
          </w:tcPr>
          <w:p w14:paraId="17ED328A">
            <w:pPr>
              <w:jc w:val="center"/>
              <w:rPr>
                <w:rFonts w:ascii="宋体" w:hAnsi="Arial"/>
                <w:color w:val="0000FF"/>
                <w:sz w:val="18"/>
              </w:rPr>
            </w:pPr>
            <w:r>
              <w:rPr>
                <w:rFonts w:hint="eastAsia" w:ascii="宋体" w:hAnsi="Arial"/>
                <w:color w:val="0000FF"/>
                <w:sz w:val="18"/>
              </w:rPr>
              <w:t>1级</w:t>
            </w:r>
          </w:p>
          <w:p w14:paraId="17ED328B">
            <w:pPr>
              <w:jc w:val="center"/>
              <w:rPr>
                <w:rFonts w:hint="eastAsia" w:ascii="宋体" w:hAnsi="宋体"/>
                <w:color w:val="0000FF"/>
                <w:sz w:val="18"/>
              </w:rPr>
            </w:pPr>
            <w:r>
              <w:rPr>
                <w:rFonts w:hint="eastAsia" w:ascii="宋体" w:hAnsi="Arial"/>
                <w:color w:val="0000FF"/>
                <w:sz w:val="18"/>
              </w:rPr>
              <w:t>（学员经历）</w:t>
            </w:r>
          </w:p>
        </w:tc>
        <w:tc>
          <w:tcPr>
            <w:tcW w:w="2205" w:type="dxa"/>
            <w:tcBorders>
              <w:top w:val="single" w:color="auto" w:sz="4" w:space="0"/>
              <w:left w:val="single" w:color="auto" w:sz="4" w:space="0"/>
              <w:bottom w:val="single" w:color="auto" w:sz="4" w:space="0"/>
              <w:right w:val="single" w:color="auto" w:sz="4" w:space="0"/>
            </w:tcBorders>
            <w:vAlign w:val="center"/>
          </w:tcPr>
          <w:p w14:paraId="17ED328C">
            <w:pPr>
              <w:jc w:val="center"/>
              <w:rPr>
                <w:rFonts w:ascii="宋体" w:hAnsi="Arial"/>
                <w:color w:val="0000FF"/>
                <w:sz w:val="18"/>
              </w:rPr>
            </w:pPr>
            <w:r>
              <w:rPr>
                <w:rFonts w:hint="eastAsia" w:ascii="宋体" w:hAnsi="Arial"/>
                <w:color w:val="0000FF"/>
                <w:sz w:val="18"/>
              </w:rPr>
              <w:t>2级</w:t>
            </w:r>
          </w:p>
          <w:p w14:paraId="17ED328D">
            <w:pPr>
              <w:jc w:val="center"/>
              <w:rPr>
                <w:rFonts w:ascii="宋体" w:hAnsi="Arial"/>
                <w:color w:val="0000FF"/>
                <w:sz w:val="18"/>
              </w:rPr>
            </w:pPr>
            <w:r>
              <w:rPr>
                <w:rFonts w:hint="eastAsia" w:ascii="宋体" w:hAnsi="Arial"/>
                <w:color w:val="0000FF"/>
                <w:sz w:val="18"/>
              </w:rPr>
              <w:t>（取得1级认证）</w:t>
            </w:r>
          </w:p>
        </w:tc>
        <w:tc>
          <w:tcPr>
            <w:tcW w:w="2584" w:type="dxa"/>
            <w:tcBorders>
              <w:top w:val="single" w:color="auto" w:sz="4" w:space="0"/>
              <w:left w:val="single" w:color="auto" w:sz="4" w:space="0"/>
              <w:bottom w:val="single" w:color="auto" w:sz="4" w:space="0"/>
              <w:right w:val="single" w:color="auto" w:sz="4" w:space="0"/>
            </w:tcBorders>
            <w:vAlign w:val="center"/>
          </w:tcPr>
          <w:p w14:paraId="17ED328E">
            <w:pPr>
              <w:jc w:val="center"/>
              <w:rPr>
                <w:rFonts w:ascii="宋体" w:hAnsi="Arial"/>
                <w:color w:val="0000FF"/>
                <w:sz w:val="18"/>
              </w:rPr>
            </w:pPr>
            <w:r>
              <w:rPr>
                <w:rFonts w:hint="eastAsia" w:ascii="宋体" w:hAnsi="Arial"/>
                <w:color w:val="0000FF"/>
                <w:sz w:val="18"/>
              </w:rPr>
              <w:t>2级</w:t>
            </w:r>
          </w:p>
          <w:p w14:paraId="17ED328F">
            <w:pPr>
              <w:jc w:val="center"/>
              <w:rPr>
                <w:rFonts w:ascii="宋体" w:hAnsi="Arial"/>
                <w:color w:val="0000FF"/>
                <w:sz w:val="18"/>
              </w:rPr>
            </w:pPr>
            <w:r>
              <w:rPr>
                <w:rFonts w:hint="eastAsia" w:ascii="宋体" w:hAnsi="Arial"/>
                <w:color w:val="0000FF"/>
                <w:sz w:val="18"/>
              </w:rPr>
              <w:t>（没有取得1级认证）</w:t>
            </w:r>
          </w:p>
        </w:tc>
      </w:tr>
      <w:tr w14:paraId="17ED32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72" w:type="dxa"/>
            <w:tcBorders>
              <w:top w:val="single" w:color="auto" w:sz="4" w:space="0"/>
              <w:left w:val="single" w:color="auto" w:sz="4" w:space="0"/>
              <w:bottom w:val="single" w:color="auto" w:sz="4" w:space="0"/>
              <w:right w:val="single" w:color="auto" w:sz="4" w:space="0"/>
            </w:tcBorders>
            <w:vAlign w:val="center"/>
          </w:tcPr>
          <w:p w14:paraId="17ED3291">
            <w:pPr>
              <w:spacing w:line="400" w:lineRule="exact"/>
              <w:jc w:val="center"/>
              <w:rPr>
                <w:rFonts w:ascii="宋体" w:hAnsi="Arial"/>
                <w:color w:val="000000" w:themeColor="text1"/>
                <w:sz w:val="18"/>
                <w14:textFill>
                  <w14:solidFill>
                    <w14:schemeClr w14:val="tx1"/>
                  </w14:solidFill>
                </w14:textFill>
              </w:rPr>
            </w:pPr>
            <w:r>
              <w:rPr>
                <w:rFonts w:ascii="宋体" w:hAnsi="Arial"/>
                <w:color w:val="000000" w:themeColor="text1"/>
                <w:sz w:val="18"/>
                <w14:textFill>
                  <w14:solidFill>
                    <w14:schemeClr w14:val="tx1"/>
                  </w14:solidFill>
                </w14:textFill>
              </w:rPr>
              <w:t>PT</w:t>
            </w:r>
          </w:p>
        </w:tc>
        <w:tc>
          <w:tcPr>
            <w:tcW w:w="2311" w:type="dxa"/>
            <w:tcBorders>
              <w:top w:val="single" w:color="auto" w:sz="4" w:space="0"/>
              <w:left w:val="single" w:color="auto" w:sz="4" w:space="0"/>
              <w:bottom w:val="single" w:color="auto" w:sz="4" w:space="0"/>
              <w:right w:val="single" w:color="auto" w:sz="4" w:space="0"/>
            </w:tcBorders>
            <w:vAlign w:val="center"/>
          </w:tcPr>
          <w:p w14:paraId="17ED3292">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130</w:t>
            </w:r>
          </w:p>
        </w:tc>
        <w:tc>
          <w:tcPr>
            <w:tcW w:w="2205" w:type="dxa"/>
            <w:tcBorders>
              <w:top w:val="single" w:color="auto" w:sz="4" w:space="0"/>
              <w:left w:val="single" w:color="auto" w:sz="4" w:space="0"/>
              <w:bottom w:val="single" w:color="auto" w:sz="4" w:space="0"/>
              <w:right w:val="single" w:color="auto" w:sz="4" w:space="0"/>
            </w:tcBorders>
            <w:vAlign w:val="center"/>
          </w:tcPr>
          <w:p w14:paraId="17ED3293">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270</w:t>
            </w:r>
          </w:p>
        </w:tc>
        <w:tc>
          <w:tcPr>
            <w:tcW w:w="2584" w:type="dxa"/>
            <w:tcBorders>
              <w:top w:val="single" w:color="auto" w:sz="4" w:space="0"/>
              <w:left w:val="single" w:color="auto" w:sz="4" w:space="0"/>
              <w:bottom w:val="single" w:color="auto" w:sz="4" w:space="0"/>
              <w:right w:val="single" w:color="auto" w:sz="4" w:space="0"/>
            </w:tcBorders>
            <w:vAlign w:val="center"/>
          </w:tcPr>
          <w:p w14:paraId="17ED3294">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400</w:t>
            </w:r>
          </w:p>
        </w:tc>
      </w:tr>
      <w:tr w14:paraId="17ED32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72" w:type="dxa"/>
            <w:tcBorders>
              <w:top w:val="single" w:color="auto" w:sz="4" w:space="0"/>
              <w:left w:val="single" w:color="auto" w:sz="4" w:space="0"/>
              <w:bottom w:val="single" w:color="auto" w:sz="4" w:space="0"/>
              <w:right w:val="single" w:color="auto" w:sz="4" w:space="0"/>
            </w:tcBorders>
            <w:vAlign w:val="center"/>
          </w:tcPr>
          <w:p w14:paraId="17ED3296">
            <w:pPr>
              <w:spacing w:line="400" w:lineRule="exact"/>
              <w:jc w:val="center"/>
              <w:rPr>
                <w:rFonts w:ascii="宋体" w:hAnsi="Arial"/>
                <w:color w:val="000000" w:themeColor="text1"/>
                <w:sz w:val="18"/>
                <w14:textFill>
                  <w14:solidFill>
                    <w14:schemeClr w14:val="tx1"/>
                  </w14:solidFill>
                </w14:textFill>
              </w:rPr>
            </w:pPr>
            <w:r>
              <w:rPr>
                <w:rFonts w:ascii="宋体" w:hAnsi="Arial"/>
                <w:color w:val="000000" w:themeColor="text1"/>
                <w:sz w:val="18"/>
                <w14:textFill>
                  <w14:solidFill>
                    <w14:schemeClr w14:val="tx1"/>
                  </w14:solidFill>
                </w14:textFill>
              </w:rPr>
              <w:t>MT</w:t>
            </w:r>
          </w:p>
        </w:tc>
        <w:tc>
          <w:tcPr>
            <w:tcW w:w="2311" w:type="dxa"/>
            <w:tcBorders>
              <w:top w:val="single" w:color="auto" w:sz="4" w:space="0"/>
              <w:left w:val="single" w:color="auto" w:sz="4" w:space="0"/>
              <w:bottom w:val="single" w:color="auto" w:sz="4" w:space="0"/>
              <w:right w:val="single" w:color="auto" w:sz="4" w:space="0"/>
            </w:tcBorders>
            <w:vAlign w:val="center"/>
          </w:tcPr>
          <w:p w14:paraId="17ED3297">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130</w:t>
            </w:r>
          </w:p>
        </w:tc>
        <w:tc>
          <w:tcPr>
            <w:tcW w:w="2205" w:type="dxa"/>
            <w:tcBorders>
              <w:top w:val="single" w:color="auto" w:sz="4" w:space="0"/>
              <w:left w:val="single" w:color="auto" w:sz="4" w:space="0"/>
              <w:bottom w:val="single" w:color="auto" w:sz="4" w:space="0"/>
              <w:right w:val="single" w:color="auto" w:sz="4" w:space="0"/>
            </w:tcBorders>
            <w:vAlign w:val="center"/>
          </w:tcPr>
          <w:p w14:paraId="17ED3298">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400</w:t>
            </w:r>
          </w:p>
        </w:tc>
        <w:tc>
          <w:tcPr>
            <w:tcW w:w="2584" w:type="dxa"/>
            <w:tcBorders>
              <w:top w:val="single" w:color="auto" w:sz="4" w:space="0"/>
              <w:left w:val="single" w:color="auto" w:sz="4" w:space="0"/>
              <w:bottom w:val="single" w:color="auto" w:sz="4" w:space="0"/>
              <w:right w:val="single" w:color="auto" w:sz="4" w:space="0"/>
            </w:tcBorders>
            <w:vAlign w:val="center"/>
          </w:tcPr>
          <w:p w14:paraId="17ED3299">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530</w:t>
            </w:r>
          </w:p>
        </w:tc>
      </w:tr>
      <w:tr w14:paraId="17ED32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72" w:type="dxa"/>
            <w:tcBorders>
              <w:top w:val="single" w:color="auto" w:sz="4" w:space="0"/>
              <w:left w:val="single" w:color="auto" w:sz="4" w:space="0"/>
              <w:bottom w:val="single" w:color="auto" w:sz="4" w:space="0"/>
              <w:right w:val="single" w:color="auto" w:sz="4" w:space="0"/>
            </w:tcBorders>
            <w:vAlign w:val="center"/>
          </w:tcPr>
          <w:p w14:paraId="17ED329B">
            <w:pPr>
              <w:spacing w:line="400" w:lineRule="exact"/>
              <w:jc w:val="center"/>
              <w:rPr>
                <w:rFonts w:ascii="宋体" w:hAnsi="Arial"/>
                <w:color w:val="000000" w:themeColor="text1"/>
                <w:sz w:val="18"/>
                <w14:textFill>
                  <w14:solidFill>
                    <w14:schemeClr w14:val="tx1"/>
                  </w14:solidFill>
                </w14:textFill>
              </w:rPr>
            </w:pPr>
            <w:r>
              <w:rPr>
                <w:rFonts w:ascii="宋体" w:hAnsi="Arial"/>
                <w:color w:val="000000" w:themeColor="text1"/>
                <w:sz w:val="18"/>
                <w14:textFill>
                  <w14:solidFill>
                    <w14:schemeClr w14:val="tx1"/>
                  </w14:solidFill>
                </w14:textFill>
              </w:rPr>
              <w:t>ET</w:t>
            </w:r>
          </w:p>
        </w:tc>
        <w:tc>
          <w:tcPr>
            <w:tcW w:w="2311" w:type="dxa"/>
            <w:tcBorders>
              <w:top w:val="single" w:color="auto" w:sz="4" w:space="0"/>
              <w:left w:val="single" w:color="auto" w:sz="4" w:space="0"/>
              <w:bottom w:val="single" w:color="auto" w:sz="4" w:space="0"/>
              <w:right w:val="single" w:color="auto" w:sz="4" w:space="0"/>
            </w:tcBorders>
            <w:vAlign w:val="center"/>
          </w:tcPr>
          <w:p w14:paraId="17ED329C">
            <w:pPr>
              <w:spacing w:line="400" w:lineRule="exact"/>
              <w:jc w:val="center"/>
              <w:rPr>
                <w:rFonts w:ascii="宋体" w:hAnsi="Arial"/>
                <w:color w:val="000000" w:themeColor="text1"/>
                <w:sz w:val="18"/>
                <w14:textFill>
                  <w14:solidFill>
                    <w14:schemeClr w14:val="tx1"/>
                  </w14:solidFill>
                </w14:textFill>
              </w:rPr>
            </w:pPr>
            <w:r>
              <w:rPr>
                <w:rFonts w:ascii="宋体" w:hAnsi="Arial"/>
                <w:color w:val="000000" w:themeColor="text1"/>
                <w:sz w:val="18"/>
                <w14:textFill>
                  <w14:solidFill>
                    <w14:schemeClr w14:val="tx1"/>
                  </w14:solidFill>
                </w14:textFill>
              </w:rPr>
              <w:t>2</w:t>
            </w:r>
            <w:r>
              <w:rPr>
                <w:rFonts w:hint="eastAsia" w:ascii="宋体" w:hAnsi="Arial"/>
                <w:color w:val="000000" w:themeColor="text1"/>
                <w:sz w:val="18"/>
                <w14:textFill>
                  <w14:solidFill>
                    <w14:schemeClr w14:val="tx1"/>
                  </w14:solidFill>
                </w14:textFill>
              </w:rPr>
              <w:t>00</w:t>
            </w:r>
          </w:p>
        </w:tc>
        <w:tc>
          <w:tcPr>
            <w:tcW w:w="2205" w:type="dxa"/>
            <w:tcBorders>
              <w:top w:val="single" w:color="auto" w:sz="4" w:space="0"/>
              <w:left w:val="single" w:color="auto" w:sz="4" w:space="0"/>
              <w:bottom w:val="single" w:color="auto" w:sz="4" w:space="0"/>
              <w:right w:val="single" w:color="auto" w:sz="4" w:space="0"/>
            </w:tcBorders>
            <w:vAlign w:val="center"/>
          </w:tcPr>
          <w:p w14:paraId="17ED329D">
            <w:pPr>
              <w:spacing w:line="400" w:lineRule="exact"/>
              <w:jc w:val="center"/>
              <w:rPr>
                <w:rFonts w:ascii="宋体" w:hAnsi="Arial"/>
                <w:color w:val="000000" w:themeColor="text1"/>
                <w:sz w:val="18"/>
                <w14:textFill>
                  <w14:solidFill>
                    <w14:schemeClr w14:val="tx1"/>
                  </w14:solidFill>
                </w14:textFill>
              </w:rPr>
            </w:pPr>
            <w:r>
              <w:rPr>
                <w:rFonts w:ascii="宋体" w:hAnsi="Arial"/>
                <w:color w:val="000000" w:themeColor="text1"/>
                <w:sz w:val="18"/>
                <w14:textFill>
                  <w14:solidFill>
                    <w14:schemeClr w14:val="tx1"/>
                  </w14:solidFill>
                </w14:textFill>
              </w:rPr>
              <w:t>6</w:t>
            </w:r>
            <w:r>
              <w:rPr>
                <w:rFonts w:hint="eastAsia" w:ascii="宋体" w:hAnsi="Arial"/>
                <w:color w:val="000000" w:themeColor="text1"/>
                <w:sz w:val="18"/>
                <w14:textFill>
                  <w14:solidFill>
                    <w14:schemeClr w14:val="tx1"/>
                  </w14:solidFill>
                </w14:textFill>
              </w:rPr>
              <w:t>00</w:t>
            </w:r>
          </w:p>
        </w:tc>
        <w:tc>
          <w:tcPr>
            <w:tcW w:w="2584" w:type="dxa"/>
            <w:tcBorders>
              <w:top w:val="single" w:color="auto" w:sz="4" w:space="0"/>
              <w:left w:val="single" w:color="auto" w:sz="4" w:space="0"/>
              <w:bottom w:val="single" w:color="auto" w:sz="4" w:space="0"/>
              <w:right w:val="single" w:color="auto" w:sz="4" w:space="0"/>
            </w:tcBorders>
            <w:vAlign w:val="center"/>
          </w:tcPr>
          <w:p w14:paraId="17ED329E">
            <w:pPr>
              <w:spacing w:line="400" w:lineRule="exact"/>
              <w:jc w:val="center"/>
              <w:rPr>
                <w:rFonts w:ascii="宋体" w:hAnsi="Arial"/>
                <w:color w:val="000000" w:themeColor="text1"/>
                <w:sz w:val="18"/>
                <w14:textFill>
                  <w14:solidFill>
                    <w14:schemeClr w14:val="tx1"/>
                  </w14:solidFill>
                </w14:textFill>
              </w:rPr>
            </w:pPr>
            <w:r>
              <w:rPr>
                <w:rFonts w:ascii="宋体" w:hAnsi="Arial"/>
                <w:color w:val="000000" w:themeColor="text1"/>
                <w:sz w:val="18"/>
                <w14:textFill>
                  <w14:solidFill>
                    <w14:schemeClr w14:val="tx1"/>
                  </w14:solidFill>
                </w14:textFill>
              </w:rPr>
              <w:t>8</w:t>
            </w:r>
            <w:r>
              <w:rPr>
                <w:rFonts w:hint="eastAsia" w:ascii="宋体" w:hAnsi="Arial"/>
                <w:color w:val="000000" w:themeColor="text1"/>
                <w:sz w:val="18"/>
                <w14:textFill>
                  <w14:solidFill>
                    <w14:schemeClr w14:val="tx1"/>
                  </w14:solidFill>
                </w14:textFill>
              </w:rPr>
              <w:t>00</w:t>
            </w:r>
          </w:p>
        </w:tc>
      </w:tr>
      <w:tr w14:paraId="17ED32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72" w:type="dxa"/>
            <w:tcBorders>
              <w:top w:val="single" w:color="auto" w:sz="4" w:space="0"/>
              <w:left w:val="single" w:color="auto" w:sz="4" w:space="0"/>
              <w:bottom w:val="single" w:color="auto" w:sz="4" w:space="0"/>
              <w:right w:val="single" w:color="auto" w:sz="4" w:space="0"/>
            </w:tcBorders>
            <w:vAlign w:val="center"/>
          </w:tcPr>
          <w:p w14:paraId="17ED32A0">
            <w:pPr>
              <w:spacing w:line="400" w:lineRule="exact"/>
              <w:jc w:val="center"/>
              <w:rPr>
                <w:rFonts w:ascii="宋体" w:hAnsi="Arial"/>
                <w:color w:val="000000" w:themeColor="text1"/>
                <w:sz w:val="18"/>
                <w14:textFill>
                  <w14:solidFill>
                    <w14:schemeClr w14:val="tx1"/>
                  </w14:solidFill>
                </w14:textFill>
              </w:rPr>
            </w:pPr>
            <w:r>
              <w:rPr>
                <w:rFonts w:ascii="宋体" w:hAnsi="Arial"/>
                <w:color w:val="000000" w:themeColor="text1"/>
                <w:sz w:val="18"/>
                <w14:textFill>
                  <w14:solidFill>
                    <w14:schemeClr w14:val="tx1"/>
                  </w14:solidFill>
                </w14:textFill>
              </w:rPr>
              <w:t>UT</w:t>
            </w:r>
          </w:p>
        </w:tc>
        <w:tc>
          <w:tcPr>
            <w:tcW w:w="2311" w:type="dxa"/>
            <w:tcBorders>
              <w:top w:val="single" w:color="auto" w:sz="4" w:space="0"/>
              <w:left w:val="single" w:color="auto" w:sz="4" w:space="0"/>
              <w:bottom w:val="single" w:color="auto" w:sz="4" w:space="0"/>
              <w:right w:val="single" w:color="auto" w:sz="4" w:space="0"/>
            </w:tcBorders>
            <w:vAlign w:val="center"/>
          </w:tcPr>
          <w:p w14:paraId="17ED32A1">
            <w:pPr>
              <w:spacing w:line="400" w:lineRule="exact"/>
              <w:jc w:val="center"/>
              <w:rPr>
                <w:rFonts w:ascii="宋体" w:hAnsi="Arial"/>
                <w:color w:val="000000" w:themeColor="text1"/>
                <w:sz w:val="18"/>
                <w14:textFill>
                  <w14:solidFill>
                    <w14:schemeClr w14:val="tx1"/>
                  </w14:solidFill>
                </w14:textFill>
              </w:rPr>
            </w:pPr>
            <w:r>
              <w:rPr>
                <w:rFonts w:ascii="宋体" w:hAnsi="Arial"/>
                <w:color w:val="000000" w:themeColor="text1"/>
                <w:sz w:val="18"/>
                <w14:textFill>
                  <w14:solidFill>
                    <w14:schemeClr w14:val="tx1"/>
                  </w14:solidFill>
                </w14:textFill>
              </w:rPr>
              <w:t>2</w:t>
            </w:r>
            <w:r>
              <w:rPr>
                <w:rFonts w:hint="eastAsia" w:ascii="宋体" w:hAnsi="Arial"/>
                <w:color w:val="000000" w:themeColor="text1"/>
                <w:sz w:val="18"/>
                <w14:textFill>
                  <w14:solidFill>
                    <w14:schemeClr w14:val="tx1"/>
                  </w14:solidFill>
                </w14:textFill>
              </w:rPr>
              <w:t>00</w:t>
            </w:r>
          </w:p>
        </w:tc>
        <w:tc>
          <w:tcPr>
            <w:tcW w:w="2205" w:type="dxa"/>
            <w:tcBorders>
              <w:top w:val="single" w:color="auto" w:sz="4" w:space="0"/>
              <w:left w:val="single" w:color="auto" w:sz="4" w:space="0"/>
              <w:bottom w:val="single" w:color="auto" w:sz="4" w:space="0"/>
              <w:right w:val="single" w:color="auto" w:sz="4" w:space="0"/>
            </w:tcBorders>
            <w:vAlign w:val="center"/>
          </w:tcPr>
          <w:p w14:paraId="17ED32A2">
            <w:pPr>
              <w:spacing w:line="400" w:lineRule="exact"/>
              <w:jc w:val="center"/>
              <w:rPr>
                <w:rFonts w:ascii="宋体" w:hAnsi="Arial"/>
                <w:color w:val="000000" w:themeColor="text1"/>
                <w:sz w:val="18"/>
                <w14:textFill>
                  <w14:solidFill>
                    <w14:schemeClr w14:val="tx1"/>
                  </w14:solidFill>
                </w14:textFill>
              </w:rPr>
            </w:pPr>
            <w:r>
              <w:rPr>
                <w:rFonts w:ascii="宋体" w:hAnsi="Arial"/>
                <w:color w:val="000000" w:themeColor="text1"/>
                <w:sz w:val="18"/>
                <w14:textFill>
                  <w14:solidFill>
                    <w14:schemeClr w14:val="tx1"/>
                  </w14:solidFill>
                </w14:textFill>
              </w:rPr>
              <w:t>6</w:t>
            </w:r>
            <w:r>
              <w:rPr>
                <w:rFonts w:hint="eastAsia" w:ascii="宋体" w:hAnsi="Arial"/>
                <w:color w:val="000000" w:themeColor="text1"/>
                <w:sz w:val="18"/>
                <w14:textFill>
                  <w14:solidFill>
                    <w14:schemeClr w14:val="tx1"/>
                  </w14:solidFill>
                </w14:textFill>
              </w:rPr>
              <w:t>00</w:t>
            </w:r>
          </w:p>
        </w:tc>
        <w:tc>
          <w:tcPr>
            <w:tcW w:w="2584" w:type="dxa"/>
            <w:tcBorders>
              <w:top w:val="single" w:color="auto" w:sz="4" w:space="0"/>
              <w:left w:val="single" w:color="auto" w:sz="4" w:space="0"/>
              <w:bottom w:val="single" w:color="auto" w:sz="4" w:space="0"/>
              <w:right w:val="single" w:color="auto" w:sz="4" w:space="0"/>
            </w:tcBorders>
            <w:vAlign w:val="center"/>
          </w:tcPr>
          <w:p w14:paraId="17ED32A3">
            <w:pPr>
              <w:spacing w:line="400" w:lineRule="exact"/>
              <w:jc w:val="center"/>
              <w:rPr>
                <w:rFonts w:ascii="宋体" w:hAnsi="Arial"/>
                <w:color w:val="000000" w:themeColor="text1"/>
                <w:sz w:val="18"/>
                <w14:textFill>
                  <w14:solidFill>
                    <w14:schemeClr w14:val="tx1"/>
                  </w14:solidFill>
                </w14:textFill>
              </w:rPr>
            </w:pPr>
            <w:r>
              <w:rPr>
                <w:rFonts w:ascii="宋体" w:hAnsi="Arial"/>
                <w:color w:val="000000" w:themeColor="text1"/>
                <w:sz w:val="18"/>
                <w14:textFill>
                  <w14:solidFill>
                    <w14:schemeClr w14:val="tx1"/>
                  </w14:solidFill>
                </w14:textFill>
              </w:rPr>
              <w:t>8</w:t>
            </w:r>
            <w:r>
              <w:rPr>
                <w:rFonts w:hint="eastAsia" w:ascii="宋体" w:hAnsi="Arial"/>
                <w:color w:val="000000" w:themeColor="text1"/>
                <w:sz w:val="18"/>
                <w14:textFill>
                  <w14:solidFill>
                    <w14:schemeClr w14:val="tx1"/>
                  </w14:solidFill>
                </w14:textFill>
              </w:rPr>
              <w:t>00</w:t>
            </w:r>
          </w:p>
        </w:tc>
      </w:tr>
      <w:tr w14:paraId="17ED32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72" w:type="dxa"/>
            <w:tcBorders>
              <w:top w:val="single" w:color="auto" w:sz="4" w:space="0"/>
              <w:left w:val="single" w:color="auto" w:sz="4" w:space="0"/>
              <w:bottom w:val="single" w:color="auto" w:sz="4" w:space="0"/>
              <w:right w:val="single" w:color="auto" w:sz="4" w:space="0"/>
            </w:tcBorders>
            <w:vAlign w:val="center"/>
          </w:tcPr>
          <w:p w14:paraId="17ED32A5">
            <w:pPr>
              <w:spacing w:line="400" w:lineRule="exact"/>
              <w:jc w:val="center"/>
              <w:rPr>
                <w:rFonts w:ascii="宋体" w:hAnsi="Arial"/>
                <w:color w:val="000000" w:themeColor="text1"/>
                <w:sz w:val="18"/>
                <w14:textFill>
                  <w14:solidFill>
                    <w14:schemeClr w14:val="tx1"/>
                  </w14:solidFill>
                </w14:textFill>
              </w:rPr>
            </w:pPr>
            <w:r>
              <w:rPr>
                <w:rFonts w:hint="eastAsia" w:ascii="宋体"/>
                <w:color w:val="000000" w:themeColor="text1"/>
                <w:sz w:val="18"/>
                <w:szCs w:val="21"/>
                <w14:textFill>
                  <w14:solidFill>
                    <w14:schemeClr w14:val="tx1"/>
                  </w14:solidFill>
                </w14:textFill>
              </w:rPr>
              <w:t>IRT</w:t>
            </w:r>
          </w:p>
        </w:tc>
        <w:tc>
          <w:tcPr>
            <w:tcW w:w="2311" w:type="dxa"/>
            <w:tcBorders>
              <w:top w:val="single" w:color="auto" w:sz="4" w:space="0"/>
              <w:left w:val="single" w:color="auto" w:sz="4" w:space="0"/>
              <w:bottom w:val="single" w:color="auto" w:sz="4" w:space="0"/>
              <w:right w:val="single" w:color="auto" w:sz="4" w:space="0"/>
            </w:tcBorders>
            <w:vAlign w:val="center"/>
          </w:tcPr>
          <w:p w14:paraId="17ED32A6">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200</w:t>
            </w:r>
          </w:p>
        </w:tc>
        <w:tc>
          <w:tcPr>
            <w:tcW w:w="2205" w:type="dxa"/>
            <w:tcBorders>
              <w:top w:val="single" w:color="auto" w:sz="4" w:space="0"/>
              <w:left w:val="single" w:color="auto" w:sz="4" w:space="0"/>
              <w:bottom w:val="single" w:color="auto" w:sz="4" w:space="0"/>
              <w:right w:val="single" w:color="auto" w:sz="4" w:space="0"/>
            </w:tcBorders>
            <w:vAlign w:val="center"/>
          </w:tcPr>
          <w:p w14:paraId="17ED32A7">
            <w:pPr>
              <w:spacing w:line="400" w:lineRule="exact"/>
              <w:jc w:val="center"/>
              <w:rPr>
                <w:rFonts w:ascii="宋体" w:hAnsi="Arial"/>
                <w:sz w:val="18"/>
              </w:rPr>
            </w:pPr>
            <w:r>
              <w:rPr>
                <w:rFonts w:ascii="宋体" w:hAnsi="Arial"/>
                <w:sz w:val="18"/>
              </w:rPr>
              <w:t>400</w:t>
            </w:r>
          </w:p>
        </w:tc>
        <w:tc>
          <w:tcPr>
            <w:tcW w:w="2584" w:type="dxa"/>
            <w:tcBorders>
              <w:top w:val="single" w:color="auto" w:sz="4" w:space="0"/>
              <w:left w:val="single" w:color="auto" w:sz="4" w:space="0"/>
              <w:bottom w:val="single" w:color="auto" w:sz="4" w:space="0"/>
              <w:right w:val="single" w:color="auto" w:sz="4" w:space="0"/>
            </w:tcBorders>
            <w:vAlign w:val="center"/>
          </w:tcPr>
          <w:p w14:paraId="17ED32A8">
            <w:pPr>
              <w:spacing w:line="400" w:lineRule="exact"/>
              <w:jc w:val="center"/>
              <w:rPr>
                <w:rFonts w:ascii="宋体" w:hAnsi="Arial"/>
                <w:sz w:val="18"/>
              </w:rPr>
            </w:pPr>
            <w:r>
              <w:rPr>
                <w:rFonts w:ascii="宋体" w:hAnsi="Arial"/>
                <w:sz w:val="18"/>
              </w:rPr>
              <w:t>600</w:t>
            </w:r>
          </w:p>
        </w:tc>
      </w:tr>
      <w:tr w14:paraId="17ED32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72" w:type="dxa"/>
            <w:tcBorders>
              <w:top w:val="single" w:color="auto" w:sz="4" w:space="0"/>
              <w:left w:val="single" w:color="auto" w:sz="4" w:space="0"/>
              <w:bottom w:val="single" w:color="auto" w:sz="4" w:space="0"/>
              <w:right w:val="single" w:color="auto" w:sz="4" w:space="0"/>
            </w:tcBorders>
            <w:vAlign w:val="center"/>
          </w:tcPr>
          <w:p w14:paraId="17ED32AA">
            <w:pPr>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RT</w:t>
            </w:r>
          </w:p>
          <w:p w14:paraId="17ED32AB">
            <w:pPr>
              <w:pStyle w:val="24"/>
              <w:ind w:firstLine="0" w:firstLineChars="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胶片或非胶片技术</w:t>
            </w:r>
          </w:p>
        </w:tc>
        <w:tc>
          <w:tcPr>
            <w:tcW w:w="2311" w:type="dxa"/>
            <w:tcBorders>
              <w:top w:val="single" w:color="auto" w:sz="4" w:space="0"/>
              <w:left w:val="single" w:color="auto" w:sz="4" w:space="0"/>
              <w:bottom w:val="single" w:color="auto" w:sz="4" w:space="0"/>
              <w:right w:val="single" w:color="auto" w:sz="4" w:space="0"/>
            </w:tcBorders>
            <w:vAlign w:val="center"/>
          </w:tcPr>
          <w:p w14:paraId="17ED32AC">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200</w:t>
            </w:r>
          </w:p>
        </w:tc>
        <w:tc>
          <w:tcPr>
            <w:tcW w:w="2205" w:type="dxa"/>
            <w:tcBorders>
              <w:top w:val="single" w:color="auto" w:sz="4" w:space="0"/>
              <w:left w:val="single" w:color="auto" w:sz="4" w:space="0"/>
              <w:bottom w:val="single" w:color="auto" w:sz="4" w:space="0"/>
              <w:right w:val="single" w:color="auto" w:sz="4" w:space="0"/>
            </w:tcBorders>
            <w:vAlign w:val="center"/>
          </w:tcPr>
          <w:p w14:paraId="17ED32AD">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600</w:t>
            </w:r>
          </w:p>
        </w:tc>
        <w:tc>
          <w:tcPr>
            <w:tcW w:w="2584" w:type="dxa"/>
            <w:tcBorders>
              <w:top w:val="single" w:color="auto" w:sz="4" w:space="0"/>
              <w:left w:val="single" w:color="auto" w:sz="4" w:space="0"/>
              <w:bottom w:val="single" w:color="auto" w:sz="4" w:space="0"/>
              <w:right w:val="single" w:color="auto" w:sz="4" w:space="0"/>
            </w:tcBorders>
            <w:vAlign w:val="center"/>
          </w:tcPr>
          <w:p w14:paraId="17ED32AE">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800</w:t>
            </w:r>
          </w:p>
        </w:tc>
      </w:tr>
      <w:tr w14:paraId="17ED32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72" w:type="dxa"/>
            <w:tcBorders>
              <w:top w:val="single" w:color="auto" w:sz="4" w:space="0"/>
              <w:left w:val="single" w:color="auto" w:sz="4" w:space="0"/>
              <w:bottom w:val="single" w:color="auto" w:sz="4" w:space="0"/>
              <w:right w:val="single" w:color="auto" w:sz="4" w:space="0"/>
            </w:tcBorders>
            <w:vAlign w:val="center"/>
          </w:tcPr>
          <w:p w14:paraId="17ED32B0">
            <w:pPr>
              <w:jc w:val="center"/>
              <w:rPr>
                <w:rFonts w:ascii="宋体" w:hAnsi="Arial"/>
                <w:color w:val="000000" w:themeColor="text1"/>
                <w:sz w:val="18"/>
                <w14:textFill>
                  <w14:solidFill>
                    <w14:schemeClr w14:val="tx1"/>
                  </w14:solidFill>
                </w14:textFill>
              </w:rPr>
            </w:pPr>
            <w:r>
              <w:rPr>
                <w:rFonts w:ascii="宋体" w:hAnsi="Arial"/>
                <w:color w:val="000000" w:themeColor="text1"/>
                <w:sz w:val="18"/>
                <w14:textFill>
                  <w14:solidFill>
                    <w14:schemeClr w14:val="tx1"/>
                  </w14:solidFill>
                </w14:textFill>
              </w:rPr>
              <w:t>RT</w:t>
            </w:r>
          </w:p>
          <w:p w14:paraId="17ED32B1">
            <w:pPr>
              <w:pStyle w:val="24"/>
              <w:ind w:firstLine="0" w:firstLineChars="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胶片和非胶片技术</w:t>
            </w:r>
          </w:p>
        </w:tc>
        <w:tc>
          <w:tcPr>
            <w:tcW w:w="2311" w:type="dxa"/>
            <w:tcBorders>
              <w:top w:val="single" w:color="auto" w:sz="4" w:space="0"/>
              <w:left w:val="single" w:color="auto" w:sz="4" w:space="0"/>
              <w:bottom w:val="single" w:color="auto" w:sz="4" w:space="0"/>
              <w:right w:val="single" w:color="auto" w:sz="4" w:space="0"/>
            </w:tcBorders>
            <w:vAlign w:val="center"/>
          </w:tcPr>
          <w:p w14:paraId="17ED32B2">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220</w:t>
            </w:r>
          </w:p>
        </w:tc>
        <w:tc>
          <w:tcPr>
            <w:tcW w:w="2205" w:type="dxa"/>
            <w:tcBorders>
              <w:top w:val="single" w:color="auto" w:sz="4" w:space="0"/>
              <w:left w:val="single" w:color="auto" w:sz="4" w:space="0"/>
              <w:bottom w:val="single" w:color="auto" w:sz="4" w:space="0"/>
              <w:right w:val="single" w:color="auto" w:sz="4" w:space="0"/>
            </w:tcBorders>
            <w:vAlign w:val="center"/>
          </w:tcPr>
          <w:p w14:paraId="17ED32B3">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780</w:t>
            </w:r>
          </w:p>
        </w:tc>
        <w:tc>
          <w:tcPr>
            <w:tcW w:w="2584" w:type="dxa"/>
            <w:tcBorders>
              <w:top w:val="single" w:color="auto" w:sz="4" w:space="0"/>
              <w:left w:val="single" w:color="auto" w:sz="4" w:space="0"/>
              <w:bottom w:val="single" w:color="auto" w:sz="4" w:space="0"/>
              <w:right w:val="single" w:color="auto" w:sz="4" w:space="0"/>
            </w:tcBorders>
            <w:vAlign w:val="center"/>
          </w:tcPr>
          <w:p w14:paraId="17ED32B4">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1000</w:t>
            </w:r>
          </w:p>
        </w:tc>
      </w:tr>
    </w:tbl>
    <w:p w14:paraId="17ED32B9">
      <w:pPr>
        <w:pStyle w:val="24"/>
        <w:spacing w:before="156" w:beforeLines="50" w:after="156" w:afterLines="50"/>
        <w:ind w:firstLine="0" w:firstLineChars="0"/>
        <w:jc w:val="center"/>
        <w:rPr>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 xml:space="preserve">表4   </w:t>
      </w:r>
      <w:r>
        <w:rPr>
          <w:rFonts w:hint="eastAsia" w:ascii="黑体" w:hAnsi="黑体" w:eastAsia="黑体" w:cs="黑体"/>
          <w:color w:val="0000FF"/>
        </w:rPr>
        <w:t>射线照相检测胶片或非胶片技术转换的经历要求</w:t>
      </w:r>
    </w:p>
    <w:tbl>
      <w:tblPr>
        <w:tblStyle w:val="34"/>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6"/>
        <w:gridCol w:w="2921"/>
        <w:gridCol w:w="3175"/>
      </w:tblGrid>
      <w:tr w14:paraId="17ED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2" w:type="dxa"/>
            <w:gridSpan w:val="3"/>
          </w:tcPr>
          <w:p w14:paraId="17ED32BA">
            <w:pPr>
              <w:pStyle w:val="24"/>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附加的最少经历时间</w:t>
            </w:r>
            <w:r>
              <w:rPr>
                <w:rFonts w:hint="eastAsia"/>
                <w:color w:val="0000FF"/>
                <w:sz w:val="18"/>
                <w:szCs w:val="18"/>
              </w:rPr>
              <w:t>(单位：小时)</w:t>
            </w:r>
          </w:p>
        </w:tc>
      </w:tr>
      <w:tr w14:paraId="17ED3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tcPr>
          <w:p w14:paraId="17ED32BC">
            <w:pPr>
              <w:pStyle w:val="24"/>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1级</w:t>
            </w:r>
          </w:p>
        </w:tc>
        <w:tc>
          <w:tcPr>
            <w:tcW w:w="2921" w:type="dxa"/>
          </w:tcPr>
          <w:p w14:paraId="17ED32BD">
            <w:pPr>
              <w:pStyle w:val="24"/>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2级</w:t>
            </w:r>
          </w:p>
        </w:tc>
        <w:tc>
          <w:tcPr>
            <w:tcW w:w="3175" w:type="dxa"/>
          </w:tcPr>
          <w:p w14:paraId="17ED32BE">
            <w:pPr>
              <w:pStyle w:val="24"/>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1级转换为胶片和非胶片的2级</w:t>
            </w:r>
          </w:p>
        </w:tc>
      </w:tr>
      <w:tr w14:paraId="17ED3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tcPr>
          <w:p w14:paraId="17ED32C0">
            <w:pPr>
              <w:pStyle w:val="24"/>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w:t>
            </w:r>
          </w:p>
        </w:tc>
        <w:tc>
          <w:tcPr>
            <w:tcW w:w="2921" w:type="dxa"/>
          </w:tcPr>
          <w:p w14:paraId="17ED32C1">
            <w:pPr>
              <w:pStyle w:val="24"/>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200</w:t>
            </w:r>
          </w:p>
        </w:tc>
        <w:tc>
          <w:tcPr>
            <w:tcW w:w="3175" w:type="dxa"/>
          </w:tcPr>
          <w:p w14:paraId="17ED32C2">
            <w:pPr>
              <w:pStyle w:val="24"/>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800</w:t>
            </w:r>
          </w:p>
        </w:tc>
      </w:tr>
    </w:tbl>
    <w:p w14:paraId="17ED32C5">
      <w:pPr>
        <w:pStyle w:val="126"/>
        <w:spacing w:before="156" w:after="156"/>
        <w:rPr>
          <w:color w:val="000000" w:themeColor="text1"/>
          <w14:textFill>
            <w14:solidFill>
              <w14:schemeClr w14:val="tx1"/>
            </w14:solidFill>
          </w14:textFill>
        </w:rPr>
      </w:pPr>
      <w:bookmarkStart w:id="1142" w:name="_Toc50625109"/>
      <w:r>
        <w:rPr>
          <w:rFonts w:hint="eastAsia"/>
          <w:color w:val="000000" w:themeColor="text1"/>
          <w14:textFill>
            <w14:solidFill>
              <w14:schemeClr w14:val="tx1"/>
            </w14:solidFill>
          </w14:textFill>
        </w:rPr>
        <w:t>表5   3级人员最低经历要求</w:t>
      </w:r>
      <w:bookmarkEnd w:id="1142"/>
    </w:p>
    <w:tbl>
      <w:tblPr>
        <w:tblStyle w:val="33"/>
        <w:tblW w:w="9106"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6"/>
        <w:gridCol w:w="4620"/>
      </w:tblGrid>
      <w:tr w14:paraId="17ED3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6" w:type="dxa"/>
          </w:tcPr>
          <w:p w14:paraId="17ED32C6">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学  历</w:t>
            </w:r>
          </w:p>
        </w:tc>
        <w:tc>
          <w:tcPr>
            <w:tcW w:w="4620" w:type="dxa"/>
          </w:tcPr>
          <w:p w14:paraId="17ED32C7">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2级经历要求</w:t>
            </w:r>
          </w:p>
        </w:tc>
      </w:tr>
      <w:tr w14:paraId="17ED3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6" w:type="dxa"/>
            <w:vAlign w:val="center"/>
          </w:tcPr>
          <w:p w14:paraId="17ED32C9">
            <w:pPr>
              <w:pStyle w:val="19"/>
              <w:snapToGrid/>
              <w:spacing w:line="400" w:lineRule="exact"/>
              <w:jc w:val="center"/>
              <w:rPr>
                <w:rFonts w:ascii="宋体" w:hAnsi="Arial"/>
                <w:color w:val="000000" w:themeColor="text1"/>
                <w:szCs w:val="24"/>
                <w14:textFill>
                  <w14:solidFill>
                    <w14:schemeClr w14:val="tx1"/>
                  </w14:solidFill>
                </w14:textFill>
              </w:rPr>
            </w:pPr>
            <w:r>
              <w:rPr>
                <w:rFonts w:hint="eastAsia" w:ascii="宋体" w:hAnsi="Arial"/>
                <w:color w:val="000000" w:themeColor="text1"/>
                <w:szCs w:val="24"/>
                <w14:textFill>
                  <w14:solidFill>
                    <w14:schemeClr w14:val="tx1"/>
                  </w14:solidFill>
                </w14:textFill>
              </w:rPr>
              <w:t>高中或以下学历</w:t>
            </w:r>
          </w:p>
        </w:tc>
        <w:tc>
          <w:tcPr>
            <w:tcW w:w="4620" w:type="dxa"/>
          </w:tcPr>
          <w:p w14:paraId="17ED32CA">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4年</w:t>
            </w:r>
          </w:p>
        </w:tc>
      </w:tr>
      <w:tr w14:paraId="17ED3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6" w:type="dxa"/>
          </w:tcPr>
          <w:p w14:paraId="17ED32CC">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FF"/>
                <w:sz w:val="18"/>
              </w:rPr>
              <w:t>成功取得2年制理工科技校或大专学历</w:t>
            </w:r>
          </w:p>
        </w:tc>
        <w:tc>
          <w:tcPr>
            <w:tcW w:w="4620" w:type="dxa"/>
          </w:tcPr>
          <w:p w14:paraId="17ED32CD">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2年</w:t>
            </w:r>
          </w:p>
        </w:tc>
      </w:tr>
      <w:tr w14:paraId="17ED3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6" w:type="dxa"/>
          </w:tcPr>
          <w:p w14:paraId="17ED32CF">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3-4年制理工科本科</w:t>
            </w:r>
          </w:p>
        </w:tc>
        <w:tc>
          <w:tcPr>
            <w:tcW w:w="4620" w:type="dxa"/>
          </w:tcPr>
          <w:p w14:paraId="17ED32D0">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1年</w:t>
            </w:r>
          </w:p>
        </w:tc>
      </w:tr>
    </w:tbl>
    <w:p w14:paraId="17ED32D3">
      <w:pPr>
        <w:pStyle w:val="46"/>
        <w:spacing w:before="156" w:after="156"/>
        <w:ind w:left="0"/>
        <w:rPr>
          <w:rFonts w:hint="eastAsia" w:hAnsi="宋体"/>
          <w:color w:val="000000" w:themeColor="text1"/>
          <w14:textFill>
            <w14:solidFill>
              <w14:schemeClr w14:val="tx1"/>
            </w14:solidFill>
          </w14:textFill>
        </w:rPr>
      </w:pPr>
      <w:r>
        <w:rPr>
          <w:color w:val="000000" w:themeColor="text1"/>
          <w14:textFill>
            <w14:solidFill>
              <w14:schemeClr w14:val="tx1"/>
            </w14:solidFill>
          </w14:textFill>
        </w:rPr>
        <w:t>先前的经历</w:t>
      </w:r>
      <w:r>
        <w:rPr>
          <w:rFonts w:hAnsi="宋体"/>
          <w:color w:val="000000" w:themeColor="text1"/>
          <w14:textFill>
            <w14:solidFill>
              <w14:schemeClr w14:val="tx1"/>
            </w14:solidFill>
          </w14:textFill>
        </w:rPr>
        <w:t xml:space="preserve"> </w:t>
      </w:r>
    </w:p>
    <w:p w14:paraId="17ED32D4">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经责任3级人员或主考人评估和批准，当前雇主可以接受申请人</w:t>
      </w:r>
      <w:r>
        <w:rPr>
          <w:rFonts w:hint="eastAsia"/>
          <w:color w:val="0000FF"/>
        </w:rPr>
        <w:t>先前获得的</w:t>
      </w:r>
      <w:r>
        <w:rPr>
          <w:rFonts w:hint="eastAsia"/>
          <w:color w:val="000000" w:themeColor="text1"/>
          <w14:textFill>
            <w14:solidFill>
              <w14:schemeClr w14:val="tx1"/>
            </w14:solidFill>
          </w14:textFill>
        </w:rPr>
        <w:t>备案的全部或部分经历</w:t>
      </w:r>
      <w:r>
        <w:rPr>
          <w:rFonts w:hint="eastAsia"/>
          <w:color w:val="0000FF"/>
        </w:rPr>
        <w:t>或学分</w:t>
      </w:r>
      <w:r>
        <w:rPr>
          <w:rFonts w:hint="eastAsia"/>
          <w:color w:val="000000" w:themeColor="text1"/>
          <w14:textFill>
            <w14:solidFill>
              <w14:schemeClr w14:val="tx1"/>
            </w14:solidFill>
          </w14:textFill>
        </w:rPr>
        <w:t>。</w:t>
      </w:r>
      <w:r>
        <w:rPr>
          <w:rFonts w:hint="eastAsia"/>
          <w:color w:val="0000FF"/>
        </w:rPr>
        <w:t>先前经历或学分的记录可以不是原始记录</w:t>
      </w:r>
      <w:r>
        <w:rPr>
          <w:rFonts w:hint="eastAsia"/>
          <w:color w:val="000000" w:themeColor="text1"/>
          <w14:textFill>
            <w14:solidFill>
              <w14:schemeClr w14:val="tx1"/>
            </w14:solidFill>
          </w14:textFill>
        </w:rPr>
        <w:t>，只要责任3级或主考人确定</w:t>
      </w:r>
      <w:r>
        <w:rPr>
          <w:rFonts w:hint="eastAsia"/>
          <w:color w:val="0000FF"/>
        </w:rPr>
        <w:t>先前经历</w:t>
      </w:r>
      <w:r>
        <w:rPr>
          <w:rFonts w:hint="eastAsia"/>
          <w:color w:val="000000" w:themeColor="text1"/>
          <w14:textFill>
            <w14:solidFill>
              <w14:schemeClr w14:val="tx1"/>
            </w14:solidFill>
          </w14:textFill>
        </w:rPr>
        <w:t>的充分性和等效性是可接受的。</w:t>
      </w:r>
    </w:p>
    <w:p w14:paraId="17ED32D5">
      <w:pPr>
        <w:pStyle w:val="46"/>
        <w:spacing w:before="156" w:after="156"/>
        <w:ind w:left="0"/>
        <w:rPr>
          <w:rFonts w:hint="eastAsia" w:hAnsi="宋体"/>
          <w:color w:val="000000" w:themeColor="text1"/>
          <w14:textFill>
            <w14:solidFill>
              <w14:schemeClr w14:val="tx1"/>
            </w14:solidFill>
          </w14:textFill>
        </w:rPr>
      </w:pPr>
      <w:r>
        <w:rPr>
          <w:color w:val="000000" w:themeColor="text1"/>
          <w14:textFill>
            <w14:solidFill>
              <w14:schemeClr w14:val="tx1"/>
            </w14:solidFill>
          </w14:textFill>
        </w:rPr>
        <w:t>等效经历</w:t>
      </w:r>
      <w:r>
        <w:rPr>
          <w:rFonts w:hAnsi="宋体"/>
          <w:color w:val="000000" w:themeColor="text1"/>
          <w14:textFill>
            <w14:solidFill>
              <w14:schemeClr w14:val="tx1"/>
            </w14:solidFill>
          </w14:textFill>
        </w:rPr>
        <w:t xml:space="preserve"> </w:t>
      </w:r>
    </w:p>
    <w:p w14:paraId="17ED32D6">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先前根</w:t>
      </w:r>
      <w:r>
        <w:rPr>
          <w:rFonts w:hint="eastAsia"/>
          <w:color w:val="0000FF"/>
        </w:rPr>
        <w:t>据T/CAMAC0001、NAS410、EN4179或其他认可的NDT资格鉴定体系认证</w:t>
      </w:r>
      <w:r>
        <w:rPr>
          <w:rFonts w:hint="eastAsia"/>
          <w:color w:val="000000" w:themeColor="text1"/>
          <w14:textFill>
            <w14:solidFill>
              <w14:schemeClr w14:val="tx1"/>
            </w14:solidFill>
          </w14:textFill>
        </w:rPr>
        <w:t>的人员，</w:t>
      </w:r>
      <w:r>
        <w:rPr>
          <w:rFonts w:hint="eastAsia"/>
          <w:color w:val="0000FF"/>
        </w:rPr>
        <w:t>其先前经历与表</w:t>
      </w:r>
      <w:r>
        <w:rPr>
          <w:color w:val="0000FF"/>
        </w:rPr>
        <w:t>3</w:t>
      </w:r>
      <w:r>
        <w:rPr>
          <w:rFonts w:hint="eastAsia"/>
          <w:color w:val="0000FF"/>
        </w:rPr>
        <w:t>，表</w:t>
      </w:r>
      <w:r>
        <w:rPr>
          <w:color w:val="0000FF"/>
        </w:rPr>
        <w:t>4</w:t>
      </w:r>
      <w:r>
        <w:rPr>
          <w:rFonts w:hint="eastAsia"/>
          <w:color w:val="0000FF"/>
        </w:rPr>
        <w:t>或表5要求经历的充分性和</w:t>
      </w:r>
      <w:r>
        <w:rPr>
          <w:rFonts w:hint="eastAsia"/>
          <w:color w:val="000000" w:themeColor="text1"/>
          <w14:textFill>
            <w14:solidFill>
              <w14:schemeClr w14:val="tx1"/>
            </w14:solidFill>
          </w14:textFill>
        </w:rPr>
        <w:t>等效性应由责任3级人员或主考人确定并备案。</w:t>
      </w:r>
    </w:p>
    <w:p w14:paraId="17ED32D7">
      <w:pPr>
        <w:pStyle w:val="42"/>
        <w:spacing w:before="156" w:after="156"/>
        <w:rPr>
          <w:color w:val="0000FF"/>
        </w:rPr>
      </w:pPr>
      <w:bookmarkStart w:id="1143" w:name="_Toc240124628"/>
      <w:bookmarkStart w:id="1144" w:name="_Toc303149828"/>
      <w:bookmarkStart w:id="1145" w:name="_Toc314478383"/>
      <w:bookmarkStart w:id="1146" w:name="_Toc303149794"/>
      <w:bookmarkStart w:id="1147" w:name="_Toc309649107"/>
      <w:bookmarkStart w:id="1148" w:name="_Toc314487188"/>
      <w:bookmarkStart w:id="1149" w:name="_Toc303780205"/>
      <w:bookmarkStart w:id="1150" w:name="_Toc316393938"/>
      <w:bookmarkStart w:id="1151" w:name="_Toc303069598"/>
      <w:r>
        <w:rPr>
          <w:rFonts w:hint="eastAsia"/>
          <w:color w:val="0000FF"/>
        </w:rPr>
        <w:t>其它NDT方法</w:t>
      </w:r>
      <w:bookmarkEnd w:id="1143"/>
      <w:bookmarkEnd w:id="1144"/>
      <w:bookmarkEnd w:id="1145"/>
      <w:bookmarkEnd w:id="1146"/>
      <w:bookmarkEnd w:id="1147"/>
      <w:bookmarkEnd w:id="1148"/>
      <w:bookmarkEnd w:id="1149"/>
      <w:bookmarkEnd w:id="1150"/>
      <w:bookmarkEnd w:id="1151"/>
    </w:p>
    <w:p w14:paraId="17ED32D8">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概述</w:t>
      </w:r>
    </w:p>
    <w:p w14:paraId="17ED32D9">
      <w:pPr>
        <w:pStyle w:val="63"/>
        <w:numPr>
          <w:ilvl w:val="2"/>
          <w:numId w:val="0"/>
        </w:numPr>
        <w:ind w:firstLine="420" w:firstLineChars="200"/>
        <w:rPr>
          <w:color w:val="0000FF"/>
        </w:rPr>
      </w:pPr>
      <w:r>
        <w:rPr>
          <w:rFonts w:hint="eastAsia"/>
          <w:color w:val="0000FF"/>
        </w:rPr>
        <w:t>对于没有列入本标准表1和表3中的其它NDT方法的培训、经历和考试要求应根据章节6.4确定并由雇主备案。</w:t>
      </w:r>
    </w:p>
    <w:p w14:paraId="17ED32DA">
      <w:pPr>
        <w:pStyle w:val="46"/>
        <w:spacing w:before="156" w:after="156"/>
        <w:ind w:left="0"/>
        <w:rPr>
          <w:color w:val="0000FF"/>
        </w:rPr>
      </w:pPr>
      <w:r>
        <w:rPr>
          <w:rFonts w:hint="eastAsia"/>
          <w:color w:val="0000FF"/>
        </w:rPr>
        <w:t>最低小时数</w:t>
      </w:r>
    </w:p>
    <w:p w14:paraId="092CFFCF">
      <w:pPr>
        <w:pStyle w:val="24"/>
        <w:rPr>
          <w:color w:val="0000FF"/>
        </w:rPr>
      </w:pPr>
      <w:r>
        <w:rPr>
          <w:rFonts w:hint="eastAsia"/>
          <w:color w:val="0000FF"/>
        </w:rPr>
        <w:t>对于没有列入本标准表1和表3中的其它NDT方法的培训、经历最低小时数由责任3级人员确定。</w:t>
      </w:r>
    </w:p>
    <w:p w14:paraId="48D6073F">
      <w:pPr>
        <w:pStyle w:val="63"/>
        <w:spacing w:before="120" w:after="120"/>
        <w:rPr>
          <w:rFonts w:hAnsi="黑体"/>
        </w:rPr>
      </w:pPr>
      <w:r>
        <w:rPr>
          <w:rFonts w:hint="eastAsia" w:ascii="黑体" w:hAnsi="黑体" w:eastAsia="黑体"/>
        </w:rPr>
        <w:t>1级和2级</w:t>
      </w:r>
    </w:p>
    <w:p w14:paraId="17ED32DB">
      <w:pPr>
        <w:pStyle w:val="63"/>
        <w:numPr>
          <w:ilvl w:val="2"/>
          <w:numId w:val="0"/>
        </w:num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没有列入表1和表3中的其它NDT方法的1级和2级培训和经历时间，应基于表1和表3中相似复杂程度的方法确定。</w:t>
      </w:r>
      <w:r>
        <w:rPr>
          <w:rFonts w:hint="eastAsia"/>
          <w:color w:val="0000FF"/>
        </w:rPr>
        <w:t>该要求不适用于表1和表3中罗列的NDT方法。</w:t>
      </w:r>
    </w:p>
    <w:p w14:paraId="17ED32DC">
      <w:pPr>
        <w:pStyle w:val="63"/>
        <w:spacing w:before="120" w:after="120"/>
        <w:rPr>
          <w:rFonts w:ascii="黑体" w:hAnsi="黑体" w:eastAsia="黑体"/>
        </w:rPr>
      </w:pPr>
      <w:r>
        <w:rPr>
          <w:rFonts w:hint="eastAsia" w:ascii="黑体" w:hAnsi="黑体" w:eastAsia="黑体"/>
        </w:rPr>
        <w:t>3级</w:t>
      </w:r>
    </w:p>
    <w:p w14:paraId="17ED32DE">
      <w:pPr>
        <w:pStyle w:val="63"/>
        <w:numPr>
          <w:ilvl w:val="2"/>
          <w:numId w:val="0"/>
        </w:numPr>
        <w:ind w:firstLine="420" w:firstLineChars="200"/>
      </w:pPr>
      <w:r>
        <w:rPr>
          <w:rFonts w:hint="eastAsia"/>
          <w:color w:val="000000" w:themeColor="text1"/>
          <w14:textFill>
            <w14:solidFill>
              <w14:schemeClr w14:val="tx1"/>
            </w14:solidFill>
          </w14:textFill>
        </w:rPr>
        <w:t>当经过认可的工程机构批准，且经雇主</w:t>
      </w:r>
      <w:r>
        <w:rPr>
          <w:rFonts w:hint="eastAsia"/>
          <w:color w:val="0000FF"/>
        </w:rPr>
        <w:t>书面实施规程许可</w:t>
      </w:r>
      <w:r>
        <w:rPr>
          <w:rFonts w:hint="eastAsia"/>
          <w:color w:val="000000" w:themeColor="text1"/>
          <w14:textFill>
            <w14:solidFill>
              <w14:schemeClr w14:val="tx1"/>
            </w14:solidFill>
          </w14:textFill>
        </w:rPr>
        <w:t>时，</w:t>
      </w:r>
      <w:r>
        <w:rPr>
          <w:rFonts w:hint="eastAsia"/>
          <w:color w:val="0000FF"/>
        </w:rPr>
        <w:t>雇主可以在满足下列要求的情况下，对没有列入本标准表1和表3中的其它NDT方法</w:t>
      </w:r>
      <w:r>
        <w:rPr>
          <w:rFonts w:hint="eastAsia"/>
          <w:color w:val="000000" w:themeColor="text1"/>
          <w14:textFill>
            <w14:solidFill>
              <w14:schemeClr w14:val="tx1"/>
            </w14:solidFill>
          </w14:textFill>
        </w:rPr>
        <w:t>的首个3级人员进行资格鉴定和认证：</w:t>
      </w:r>
    </w:p>
    <w:p w14:paraId="17ED32DF">
      <w:pPr>
        <w:pStyle w:val="48"/>
        <w:rPr>
          <w:color w:val="000000" w:themeColor="text1"/>
          <w14:textFill>
            <w14:solidFill>
              <w14:schemeClr w14:val="tx1"/>
            </w14:solidFill>
          </w14:textFill>
        </w:rPr>
      </w:pPr>
      <w:r>
        <w:rPr>
          <w:rFonts w:hint="eastAsia"/>
          <w:color w:val="000000" w:themeColor="text1"/>
          <w14:textFill>
            <w14:solidFill>
              <w14:schemeClr w14:val="tx1"/>
            </w14:solidFill>
          </w14:textFill>
        </w:rPr>
        <w:t>申请人具备履行</w:t>
      </w:r>
      <w:r>
        <w:rPr>
          <w:color w:val="0000FF"/>
        </w:rPr>
        <w:t>5.6</w:t>
      </w:r>
      <w:r>
        <w:rPr>
          <w:rFonts w:hint="eastAsia"/>
          <w:color w:val="0000FF"/>
        </w:rPr>
        <w:t>中3级职责的技能</w:t>
      </w:r>
      <w:r>
        <w:rPr>
          <w:rFonts w:hint="eastAsia"/>
          <w:color w:val="000000" w:themeColor="text1"/>
          <w14:textFill>
            <w14:solidFill>
              <w14:schemeClr w14:val="tx1"/>
            </w14:solidFill>
          </w14:textFill>
        </w:rPr>
        <w:t>和能力；</w:t>
      </w:r>
    </w:p>
    <w:p w14:paraId="17ED32E2">
      <w:pPr>
        <w:pStyle w:val="48"/>
      </w:pPr>
      <w:r>
        <w:rPr>
          <w:rFonts w:hint="eastAsia"/>
          <w:color w:val="000000" w:themeColor="text1"/>
          <w14:textFill>
            <w14:solidFill>
              <w14:schemeClr w14:val="tx1"/>
            </w14:solidFill>
          </w14:textFill>
        </w:rPr>
        <w:t>满足表6的所有要求。</w:t>
      </w:r>
    </w:p>
    <w:p w14:paraId="17ED32E3">
      <w:pPr>
        <w:pStyle w:val="126"/>
        <w:spacing w:before="156" w:after="156"/>
        <w:rPr>
          <w:rFonts w:ascii="宋体" w:hAnsi="Arial"/>
          <w:b/>
          <w:bCs/>
          <w:color w:val="000000" w:themeColor="text1"/>
          <w14:textFill>
            <w14:solidFill>
              <w14:schemeClr w14:val="tx1"/>
            </w14:solidFill>
          </w14:textFill>
        </w:rPr>
      </w:pPr>
      <w:r>
        <w:rPr>
          <w:rFonts w:hint="eastAsia"/>
          <w:color w:val="000000" w:themeColor="text1"/>
          <w14:textFill>
            <w14:solidFill>
              <w14:schemeClr w14:val="tx1"/>
            </w14:solidFill>
          </w14:textFill>
        </w:rPr>
        <w:t>表6  其它NDT方法首个3级人员资格鉴定与认证的</w:t>
      </w:r>
      <w:r>
        <w:rPr>
          <w:rFonts w:hint="eastAsia"/>
          <w:color w:val="0000FF"/>
        </w:rPr>
        <w:t>最低要求</w:t>
      </w:r>
    </w:p>
    <w:tbl>
      <w:tblPr>
        <w:tblStyle w:val="33"/>
        <w:tblW w:w="9388" w:type="dxa"/>
        <w:tblInd w:w="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8"/>
        <w:gridCol w:w="2353"/>
        <w:gridCol w:w="2167"/>
        <w:gridCol w:w="2390"/>
      </w:tblGrid>
      <w:tr w14:paraId="17ED3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8" w:type="dxa"/>
            <w:vAlign w:val="center"/>
          </w:tcPr>
          <w:p w14:paraId="17ED32E4">
            <w:pPr>
              <w:jc w:val="center"/>
              <w:rPr>
                <w:rFonts w:ascii="宋体" w:hAnsi="Arial"/>
                <w:color w:val="000000" w:themeColor="text1"/>
                <w:sz w:val="18"/>
                <w:szCs w:val="18"/>
                <w14:textFill>
                  <w14:solidFill>
                    <w14:schemeClr w14:val="tx1"/>
                  </w14:solidFill>
                </w14:textFill>
              </w:rPr>
            </w:pPr>
            <w:r>
              <w:rPr>
                <w:rFonts w:hint="eastAsia" w:ascii="宋体" w:hAnsi="Arial"/>
                <w:color w:val="000000" w:themeColor="text1"/>
                <w:sz w:val="18"/>
                <w:szCs w:val="18"/>
                <w14:textFill>
                  <w14:solidFill>
                    <w14:schemeClr w14:val="tx1"/>
                  </w14:solidFill>
                </w14:textFill>
              </w:rPr>
              <w:t>学历</w:t>
            </w:r>
          </w:p>
        </w:tc>
        <w:tc>
          <w:tcPr>
            <w:tcW w:w="2353" w:type="dxa"/>
            <w:vAlign w:val="center"/>
          </w:tcPr>
          <w:p w14:paraId="17ED32E6">
            <w:pPr>
              <w:jc w:val="center"/>
              <w:rPr>
                <w:rFonts w:ascii="宋体" w:hAnsi="Arial"/>
                <w:color w:val="000000" w:themeColor="text1"/>
                <w:sz w:val="18"/>
                <w:szCs w:val="18"/>
                <w14:textFill>
                  <w14:solidFill>
                    <w14:schemeClr w14:val="tx1"/>
                  </w14:solidFill>
                </w14:textFill>
              </w:rPr>
            </w:pPr>
            <w:r>
              <w:rPr>
                <w:rFonts w:hint="eastAsia" w:ascii="宋体" w:hAnsi="Arial"/>
                <w:color w:val="000000" w:themeColor="text1"/>
                <w:sz w:val="18"/>
                <w:szCs w:val="18"/>
                <w14:textFill>
                  <w14:solidFill>
                    <w14:schemeClr w14:val="tx1"/>
                  </w14:solidFill>
                </w14:textFill>
              </w:rPr>
              <w:t>学习或指导学时（小时）</w:t>
            </w:r>
          </w:p>
        </w:tc>
        <w:tc>
          <w:tcPr>
            <w:tcW w:w="2167" w:type="dxa"/>
            <w:vAlign w:val="center"/>
          </w:tcPr>
          <w:p w14:paraId="17ED32E7">
            <w:pPr>
              <w:jc w:val="center"/>
              <w:rPr>
                <w:rFonts w:ascii="宋体" w:hAnsi="Arial"/>
                <w:color w:val="000000" w:themeColor="text1"/>
                <w:sz w:val="18"/>
                <w:szCs w:val="18"/>
                <w14:textFill>
                  <w14:solidFill>
                    <w14:schemeClr w14:val="tx1"/>
                  </w14:solidFill>
                </w14:textFill>
              </w:rPr>
            </w:pPr>
            <w:r>
              <w:rPr>
                <w:rFonts w:hint="eastAsia" w:ascii="宋体" w:hAnsi="Arial"/>
                <w:color w:val="000000" w:themeColor="text1"/>
                <w:sz w:val="18"/>
                <w:szCs w:val="18"/>
                <w14:textFill>
                  <w14:solidFill>
                    <w14:schemeClr w14:val="tx1"/>
                  </w14:solidFill>
                </w14:textFill>
              </w:rPr>
              <w:t>经历（小时）</w:t>
            </w:r>
          </w:p>
        </w:tc>
        <w:tc>
          <w:tcPr>
            <w:tcW w:w="2390" w:type="dxa"/>
            <w:vAlign w:val="center"/>
          </w:tcPr>
          <w:p w14:paraId="17ED32E8">
            <w:pPr>
              <w:jc w:val="center"/>
              <w:rPr>
                <w:rFonts w:ascii="宋体" w:hAnsi="Arial"/>
                <w:color w:val="000000" w:themeColor="text1"/>
                <w:sz w:val="18"/>
                <w:szCs w:val="18"/>
                <w14:textFill>
                  <w14:solidFill>
                    <w14:schemeClr w14:val="tx1"/>
                  </w14:solidFill>
                </w14:textFill>
              </w:rPr>
            </w:pPr>
            <w:r>
              <w:rPr>
                <w:rFonts w:hint="eastAsia" w:ascii="宋体" w:hAnsi="Arial"/>
                <w:color w:val="000000" w:themeColor="text1"/>
                <w:sz w:val="18"/>
                <w:szCs w:val="18"/>
                <w14:textFill>
                  <w14:solidFill>
                    <w14:schemeClr w14:val="tx1"/>
                  </w14:solidFill>
                </w14:textFill>
              </w:rPr>
              <w:t>其他NDT</w:t>
            </w:r>
            <w:r>
              <w:rPr>
                <w:rFonts w:hint="eastAsia"/>
                <w:color w:val="000000" w:themeColor="text1"/>
                <w:sz w:val="18"/>
                <w:szCs w:val="18"/>
                <w14:textFill>
                  <w14:solidFill>
                    <w14:schemeClr w14:val="tx1"/>
                  </w14:solidFill>
                </w14:textFill>
              </w:rPr>
              <w:t>认证</w:t>
            </w:r>
          </w:p>
        </w:tc>
      </w:tr>
      <w:tr w14:paraId="17ED3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8" w:type="dxa"/>
            <w:vAlign w:val="center"/>
          </w:tcPr>
          <w:p w14:paraId="17ED32EA">
            <w:pPr>
              <w:jc w:val="center"/>
              <w:rPr>
                <w:rFonts w:ascii="宋体" w:hAnsi="Arial"/>
                <w:color w:val="000000" w:themeColor="text1"/>
                <w:sz w:val="18"/>
                <w:szCs w:val="18"/>
                <w14:textFill>
                  <w14:solidFill>
                    <w14:schemeClr w14:val="tx1"/>
                  </w14:solidFill>
                </w14:textFill>
              </w:rPr>
            </w:pPr>
            <w:r>
              <w:rPr>
                <w:rFonts w:hint="eastAsia" w:ascii="宋体" w:hAnsi="Arial"/>
                <w:color w:val="000000" w:themeColor="text1"/>
                <w:sz w:val="18"/>
                <w:szCs w:val="18"/>
                <w14:textFill>
                  <w14:solidFill>
                    <w14:schemeClr w14:val="tx1"/>
                  </w14:solidFill>
                </w14:textFill>
              </w:rPr>
              <w:t>非工科技校、大专、本科</w:t>
            </w:r>
          </w:p>
        </w:tc>
        <w:tc>
          <w:tcPr>
            <w:tcW w:w="2353" w:type="dxa"/>
            <w:vAlign w:val="center"/>
          </w:tcPr>
          <w:p w14:paraId="17ED32EB">
            <w:pPr>
              <w:jc w:val="center"/>
              <w:rPr>
                <w:rFonts w:ascii="宋体" w:hAnsi="Arial"/>
                <w:color w:val="000000" w:themeColor="text1"/>
                <w:sz w:val="18"/>
                <w:szCs w:val="18"/>
                <w14:textFill>
                  <w14:solidFill>
                    <w14:schemeClr w14:val="tx1"/>
                  </w14:solidFill>
                </w14:textFill>
              </w:rPr>
            </w:pPr>
            <w:r>
              <w:rPr>
                <w:rFonts w:ascii="宋体" w:hAnsi="Arial"/>
                <w:color w:val="000000" w:themeColor="text1"/>
                <w:sz w:val="18"/>
                <w:szCs w:val="18"/>
                <w14:textFill>
                  <w14:solidFill>
                    <w14:schemeClr w14:val="tx1"/>
                  </w14:solidFill>
                </w14:textFill>
              </w:rPr>
              <w:t>80</w:t>
            </w:r>
          </w:p>
        </w:tc>
        <w:tc>
          <w:tcPr>
            <w:tcW w:w="2167" w:type="dxa"/>
            <w:vAlign w:val="center"/>
          </w:tcPr>
          <w:p w14:paraId="17ED32EC">
            <w:pPr>
              <w:jc w:val="center"/>
              <w:rPr>
                <w:rFonts w:ascii="宋体" w:hAnsi="Arial"/>
                <w:color w:val="000000" w:themeColor="text1"/>
                <w:sz w:val="18"/>
                <w:szCs w:val="18"/>
                <w14:textFill>
                  <w14:solidFill>
                    <w14:schemeClr w14:val="tx1"/>
                  </w14:solidFill>
                </w14:textFill>
              </w:rPr>
            </w:pPr>
            <w:r>
              <w:rPr>
                <w:rFonts w:ascii="宋体" w:hAnsi="Arial"/>
                <w:color w:val="000000" w:themeColor="text1"/>
                <w:sz w:val="18"/>
                <w:szCs w:val="18"/>
                <w14:textFill>
                  <w14:solidFill>
                    <w14:schemeClr w14:val="tx1"/>
                  </w14:solidFill>
                </w14:textFill>
              </w:rPr>
              <w:t>300</w:t>
            </w:r>
          </w:p>
        </w:tc>
        <w:tc>
          <w:tcPr>
            <w:tcW w:w="2390" w:type="dxa"/>
          </w:tcPr>
          <w:p w14:paraId="17ED32ED">
            <w:pPr>
              <w:jc w:val="left"/>
              <w:rPr>
                <w:rFonts w:ascii="宋体" w:hAnsi="Arial"/>
                <w:color w:val="0000FF"/>
                <w:sz w:val="18"/>
                <w:szCs w:val="18"/>
              </w:rPr>
            </w:pPr>
            <w:r>
              <w:rPr>
                <w:rFonts w:hint="eastAsia" w:ascii="宋体" w:hAnsi="Arial"/>
                <w:color w:val="0000FF"/>
                <w:sz w:val="18"/>
                <w:szCs w:val="18"/>
              </w:rPr>
              <w:t>至少取得一种方法3级或两种方法2级</w:t>
            </w:r>
            <w:r>
              <w:rPr>
                <w:rFonts w:hint="eastAsia"/>
                <w:color w:val="0000FF"/>
                <w:sz w:val="18"/>
                <w:szCs w:val="18"/>
              </w:rPr>
              <w:t>认证</w:t>
            </w:r>
          </w:p>
        </w:tc>
      </w:tr>
      <w:tr w14:paraId="17ED3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8" w:type="dxa"/>
            <w:vAlign w:val="center"/>
          </w:tcPr>
          <w:p w14:paraId="17ED32EF">
            <w:pPr>
              <w:jc w:val="center"/>
              <w:rPr>
                <w:rFonts w:ascii="宋体" w:hAnsi="Arial"/>
                <w:color w:val="000000" w:themeColor="text1"/>
                <w:sz w:val="18"/>
                <w:szCs w:val="18"/>
                <w14:textFill>
                  <w14:solidFill>
                    <w14:schemeClr w14:val="tx1"/>
                  </w14:solidFill>
                </w14:textFill>
              </w:rPr>
            </w:pPr>
            <w:r>
              <w:rPr>
                <w:rFonts w:hint="eastAsia" w:ascii="宋体" w:hAnsi="Arial"/>
                <w:color w:val="0000FF"/>
                <w:sz w:val="18"/>
                <w:szCs w:val="18"/>
              </w:rPr>
              <w:t>成功取得</w:t>
            </w:r>
            <w:r>
              <w:rPr>
                <w:rFonts w:hint="eastAsia" w:ascii="宋体" w:hAnsi="Arial"/>
                <w:color w:val="000000" w:themeColor="text1"/>
                <w:sz w:val="18"/>
                <w:szCs w:val="18"/>
                <w14:textFill>
                  <w14:solidFill>
                    <w14:schemeClr w14:val="tx1"/>
                  </w14:solidFill>
                </w14:textFill>
              </w:rPr>
              <w:t>2年制理工科技校、大专</w:t>
            </w:r>
          </w:p>
        </w:tc>
        <w:tc>
          <w:tcPr>
            <w:tcW w:w="2353" w:type="dxa"/>
            <w:vAlign w:val="center"/>
          </w:tcPr>
          <w:p w14:paraId="17ED32F0">
            <w:pPr>
              <w:jc w:val="center"/>
              <w:rPr>
                <w:rFonts w:ascii="宋体" w:hAnsi="Arial"/>
                <w:color w:val="000000" w:themeColor="text1"/>
                <w:sz w:val="18"/>
                <w:szCs w:val="18"/>
                <w14:textFill>
                  <w14:solidFill>
                    <w14:schemeClr w14:val="tx1"/>
                  </w14:solidFill>
                </w14:textFill>
              </w:rPr>
            </w:pPr>
            <w:r>
              <w:rPr>
                <w:rFonts w:ascii="宋体" w:hAnsi="Arial"/>
                <w:color w:val="000000" w:themeColor="text1"/>
                <w:sz w:val="18"/>
                <w:szCs w:val="18"/>
                <w14:textFill>
                  <w14:solidFill>
                    <w14:schemeClr w14:val="tx1"/>
                  </w14:solidFill>
                </w14:textFill>
              </w:rPr>
              <w:t>60</w:t>
            </w:r>
          </w:p>
        </w:tc>
        <w:tc>
          <w:tcPr>
            <w:tcW w:w="2167" w:type="dxa"/>
            <w:vAlign w:val="center"/>
          </w:tcPr>
          <w:p w14:paraId="17ED32F1">
            <w:pPr>
              <w:jc w:val="center"/>
              <w:rPr>
                <w:rFonts w:ascii="宋体" w:hAnsi="Arial"/>
                <w:color w:val="000000" w:themeColor="text1"/>
                <w:sz w:val="18"/>
                <w:szCs w:val="18"/>
                <w14:textFill>
                  <w14:solidFill>
                    <w14:schemeClr w14:val="tx1"/>
                  </w14:solidFill>
                </w14:textFill>
              </w:rPr>
            </w:pPr>
            <w:r>
              <w:rPr>
                <w:rFonts w:ascii="宋体" w:hAnsi="Arial"/>
                <w:color w:val="000000" w:themeColor="text1"/>
                <w:sz w:val="18"/>
                <w:szCs w:val="18"/>
                <w14:textFill>
                  <w14:solidFill>
                    <w14:schemeClr w14:val="tx1"/>
                  </w14:solidFill>
                </w14:textFill>
              </w:rPr>
              <w:t>200</w:t>
            </w:r>
          </w:p>
        </w:tc>
        <w:tc>
          <w:tcPr>
            <w:tcW w:w="2390" w:type="dxa"/>
          </w:tcPr>
          <w:p w14:paraId="17ED32F2">
            <w:pPr>
              <w:jc w:val="left"/>
              <w:rPr>
                <w:rFonts w:ascii="宋体" w:hAnsi="Arial"/>
                <w:color w:val="0000FF"/>
                <w:sz w:val="18"/>
                <w:szCs w:val="18"/>
              </w:rPr>
            </w:pPr>
            <w:r>
              <w:rPr>
                <w:rFonts w:hint="eastAsia" w:ascii="宋体" w:hAnsi="Arial"/>
                <w:color w:val="0000FF"/>
                <w:sz w:val="18"/>
                <w:szCs w:val="18"/>
              </w:rPr>
              <w:t>至少取得一种方法3级或两种方法2级</w:t>
            </w:r>
            <w:r>
              <w:rPr>
                <w:rFonts w:hint="eastAsia"/>
                <w:color w:val="0000FF"/>
                <w:sz w:val="18"/>
                <w:szCs w:val="18"/>
              </w:rPr>
              <w:t>认证</w:t>
            </w:r>
          </w:p>
        </w:tc>
      </w:tr>
      <w:tr w14:paraId="17ED3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8" w:type="dxa"/>
            <w:vAlign w:val="center"/>
          </w:tcPr>
          <w:p w14:paraId="17ED32F4">
            <w:pPr>
              <w:jc w:val="center"/>
              <w:rPr>
                <w:rFonts w:ascii="宋体" w:hAnsi="Arial"/>
                <w:color w:val="000000" w:themeColor="text1"/>
                <w:sz w:val="18"/>
                <w:szCs w:val="18"/>
                <w14:textFill>
                  <w14:solidFill>
                    <w14:schemeClr w14:val="tx1"/>
                  </w14:solidFill>
                </w14:textFill>
              </w:rPr>
            </w:pPr>
            <w:r>
              <w:rPr>
                <w:rFonts w:hint="eastAsia" w:ascii="宋体" w:hAnsi="Arial"/>
                <w:color w:val="000000" w:themeColor="text1"/>
                <w:sz w:val="18"/>
                <w:szCs w:val="18"/>
                <w14:textFill>
                  <w14:solidFill>
                    <w14:schemeClr w14:val="tx1"/>
                  </w14:solidFill>
                </w14:textFill>
              </w:rPr>
              <w:t>3-4年制理工科本科</w:t>
            </w:r>
          </w:p>
        </w:tc>
        <w:tc>
          <w:tcPr>
            <w:tcW w:w="2353" w:type="dxa"/>
            <w:vAlign w:val="center"/>
          </w:tcPr>
          <w:p w14:paraId="17ED32F5">
            <w:pPr>
              <w:jc w:val="center"/>
              <w:rPr>
                <w:rFonts w:ascii="宋体" w:hAnsi="Arial"/>
                <w:color w:val="000000" w:themeColor="text1"/>
                <w:sz w:val="18"/>
                <w:szCs w:val="18"/>
                <w14:textFill>
                  <w14:solidFill>
                    <w14:schemeClr w14:val="tx1"/>
                  </w14:solidFill>
                </w14:textFill>
              </w:rPr>
            </w:pPr>
            <w:r>
              <w:rPr>
                <w:rFonts w:ascii="宋体" w:hAnsi="Arial"/>
                <w:color w:val="000000" w:themeColor="text1"/>
                <w:sz w:val="18"/>
                <w:szCs w:val="18"/>
                <w14:textFill>
                  <w14:solidFill>
                    <w14:schemeClr w14:val="tx1"/>
                  </w14:solidFill>
                </w14:textFill>
              </w:rPr>
              <w:t>40</w:t>
            </w:r>
          </w:p>
        </w:tc>
        <w:tc>
          <w:tcPr>
            <w:tcW w:w="2167" w:type="dxa"/>
            <w:vAlign w:val="center"/>
          </w:tcPr>
          <w:p w14:paraId="17ED32F6">
            <w:pPr>
              <w:jc w:val="center"/>
              <w:rPr>
                <w:rFonts w:ascii="宋体" w:hAnsi="Arial"/>
                <w:color w:val="000000" w:themeColor="text1"/>
                <w:sz w:val="18"/>
                <w:szCs w:val="18"/>
                <w14:textFill>
                  <w14:solidFill>
                    <w14:schemeClr w14:val="tx1"/>
                  </w14:solidFill>
                </w14:textFill>
              </w:rPr>
            </w:pPr>
            <w:r>
              <w:rPr>
                <w:rFonts w:ascii="宋体" w:hAnsi="Arial"/>
                <w:color w:val="000000" w:themeColor="text1"/>
                <w:sz w:val="18"/>
                <w:szCs w:val="18"/>
                <w14:textFill>
                  <w14:solidFill>
                    <w14:schemeClr w14:val="tx1"/>
                  </w14:solidFill>
                </w14:textFill>
              </w:rPr>
              <w:t>200</w:t>
            </w:r>
          </w:p>
        </w:tc>
        <w:tc>
          <w:tcPr>
            <w:tcW w:w="2390" w:type="dxa"/>
          </w:tcPr>
          <w:p w14:paraId="17ED32F7">
            <w:pPr>
              <w:jc w:val="left"/>
              <w:rPr>
                <w:rFonts w:ascii="宋体" w:hAnsi="Arial"/>
                <w:color w:val="0000FF"/>
                <w:sz w:val="18"/>
                <w:szCs w:val="18"/>
              </w:rPr>
            </w:pPr>
            <w:r>
              <w:rPr>
                <w:rFonts w:hint="eastAsia" w:ascii="宋体" w:hAnsi="Arial"/>
                <w:color w:val="0000FF"/>
                <w:sz w:val="18"/>
                <w:szCs w:val="18"/>
              </w:rPr>
              <w:t>至少取得一种方法2级</w:t>
            </w:r>
            <w:r>
              <w:rPr>
                <w:rFonts w:hint="eastAsia"/>
                <w:color w:val="0000FF"/>
                <w:sz w:val="18"/>
                <w:szCs w:val="18"/>
              </w:rPr>
              <w:t>认证</w:t>
            </w:r>
          </w:p>
        </w:tc>
      </w:tr>
    </w:tbl>
    <w:p w14:paraId="17ED32FB">
      <w:pPr>
        <w:pStyle w:val="45"/>
        <w:spacing w:before="312" w:after="312"/>
        <w:rPr>
          <w:color w:val="000000" w:themeColor="text1"/>
          <w14:textFill>
            <w14:solidFill>
              <w14:schemeClr w14:val="tx1"/>
            </w14:solidFill>
          </w14:textFill>
        </w:rPr>
      </w:pPr>
      <w:bookmarkStart w:id="1152" w:name="_Toc225885321"/>
      <w:bookmarkEnd w:id="1152"/>
      <w:bookmarkStart w:id="1153" w:name="_Toc225885114"/>
      <w:bookmarkEnd w:id="1153"/>
      <w:bookmarkStart w:id="1154" w:name="_Toc225884910"/>
      <w:bookmarkEnd w:id="1154"/>
      <w:bookmarkStart w:id="1155" w:name="_Toc225884704"/>
      <w:bookmarkEnd w:id="1155"/>
      <w:bookmarkStart w:id="1156" w:name="_Toc225884498"/>
      <w:bookmarkEnd w:id="1156"/>
      <w:bookmarkStart w:id="1157" w:name="_Toc240124630"/>
      <w:bookmarkEnd w:id="1157"/>
      <w:bookmarkStart w:id="1158" w:name="_Toc225885733"/>
      <w:bookmarkEnd w:id="1158"/>
      <w:bookmarkStart w:id="1159" w:name="_Toc225885322"/>
      <w:bookmarkEnd w:id="1159"/>
      <w:bookmarkStart w:id="1160" w:name="_Toc225885528"/>
      <w:bookmarkEnd w:id="1160"/>
      <w:bookmarkStart w:id="1161" w:name="_Toc240124629"/>
      <w:bookmarkEnd w:id="1161"/>
      <w:bookmarkStart w:id="1162" w:name="_Toc225884499"/>
      <w:bookmarkEnd w:id="1162"/>
      <w:bookmarkStart w:id="1163" w:name="_Toc225885529"/>
      <w:bookmarkEnd w:id="1163"/>
      <w:bookmarkStart w:id="1164" w:name="_Toc225884705"/>
      <w:bookmarkEnd w:id="1164"/>
      <w:bookmarkStart w:id="1165" w:name="_Toc225884911"/>
      <w:bookmarkEnd w:id="1165"/>
      <w:bookmarkStart w:id="1166" w:name="_Toc225885115"/>
      <w:bookmarkEnd w:id="1166"/>
      <w:bookmarkStart w:id="1167" w:name="_Toc225885734"/>
      <w:bookmarkEnd w:id="1167"/>
      <w:bookmarkStart w:id="1168" w:name="_Toc316393939"/>
      <w:bookmarkStart w:id="1169" w:name="_Toc314478384"/>
      <w:bookmarkStart w:id="1170" w:name="_Toc309649108"/>
      <w:bookmarkStart w:id="1171" w:name="_Toc303780206"/>
      <w:bookmarkStart w:id="1172" w:name="_Toc303149795"/>
      <w:bookmarkStart w:id="1173" w:name="_Toc303149829"/>
      <w:bookmarkStart w:id="1174" w:name="_Toc240124631"/>
      <w:bookmarkStart w:id="1175" w:name="_Toc314487189"/>
      <w:r>
        <w:rPr>
          <w:rFonts w:hint="eastAsia"/>
          <w:color w:val="000000" w:themeColor="text1"/>
          <w14:textFill>
            <w14:solidFill>
              <w14:schemeClr w14:val="tx1"/>
            </w14:solidFill>
          </w14:textFill>
        </w:rPr>
        <w:t>考试</w:t>
      </w:r>
      <w:bookmarkEnd w:id="1168"/>
      <w:bookmarkEnd w:id="1169"/>
      <w:bookmarkEnd w:id="1170"/>
      <w:bookmarkEnd w:id="1171"/>
      <w:bookmarkEnd w:id="1172"/>
      <w:bookmarkEnd w:id="1173"/>
      <w:bookmarkEnd w:id="1174"/>
      <w:bookmarkEnd w:id="1175"/>
    </w:p>
    <w:p w14:paraId="17ED32FC">
      <w:pPr>
        <w:pStyle w:val="42"/>
        <w:spacing w:before="156" w:after="156"/>
        <w:rPr>
          <w:color w:val="000000" w:themeColor="text1"/>
          <w14:textFill>
            <w14:solidFill>
              <w14:schemeClr w14:val="tx1"/>
            </w14:solidFill>
          </w14:textFill>
        </w:rPr>
      </w:pPr>
      <w:bookmarkStart w:id="1176" w:name="_Toc303780207"/>
      <w:bookmarkStart w:id="1177" w:name="_Toc303149830"/>
      <w:bookmarkStart w:id="1178" w:name="_Toc316393940"/>
      <w:bookmarkStart w:id="1179" w:name="_Toc61427751"/>
      <w:bookmarkStart w:id="1180" w:name="_Toc303149796"/>
      <w:bookmarkStart w:id="1181" w:name="_Toc62027875"/>
      <w:bookmarkStart w:id="1182" w:name="_Toc314487190"/>
      <w:bookmarkStart w:id="1183" w:name="_Toc309649109"/>
      <w:bookmarkStart w:id="1184" w:name="_Toc303069600"/>
      <w:bookmarkStart w:id="1185" w:name="_Toc314478385"/>
      <w:bookmarkStart w:id="1186" w:name="_Toc65300349"/>
      <w:bookmarkStart w:id="1187" w:name="_Toc61236780"/>
      <w:bookmarkStart w:id="1188" w:name="_Toc240124632"/>
      <w:r>
        <w:rPr>
          <w:rFonts w:hint="eastAsia"/>
          <w:color w:val="000000" w:themeColor="text1"/>
          <w14:textFill>
            <w14:solidFill>
              <w14:schemeClr w14:val="tx1"/>
            </w14:solidFill>
          </w14:textFill>
        </w:rPr>
        <w:t>考试</w:t>
      </w:r>
      <w:bookmarkEnd w:id="1176"/>
      <w:bookmarkEnd w:id="1177"/>
      <w:bookmarkEnd w:id="1178"/>
      <w:bookmarkEnd w:id="1179"/>
      <w:bookmarkEnd w:id="1180"/>
      <w:bookmarkEnd w:id="1181"/>
      <w:bookmarkEnd w:id="1182"/>
      <w:bookmarkEnd w:id="1183"/>
      <w:bookmarkEnd w:id="1184"/>
      <w:bookmarkEnd w:id="1185"/>
      <w:bookmarkEnd w:id="1186"/>
      <w:bookmarkEnd w:id="1187"/>
      <w:r>
        <w:rPr>
          <w:rFonts w:hint="eastAsia"/>
          <w:color w:val="000000" w:themeColor="text1"/>
          <w14:textFill>
            <w14:solidFill>
              <w14:schemeClr w14:val="tx1"/>
            </w14:solidFill>
          </w14:textFill>
        </w:rPr>
        <w:t>要求</w:t>
      </w:r>
      <w:bookmarkEnd w:id="1188"/>
    </w:p>
    <w:p w14:paraId="17ED32FD">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概述</w:t>
      </w:r>
    </w:p>
    <w:p w14:paraId="257CD7CF">
      <w:pPr>
        <w:pStyle w:val="24"/>
        <w:rPr>
          <w:color w:val="0000FF"/>
        </w:rPr>
      </w:pPr>
      <w:r>
        <w:rPr>
          <w:rFonts w:hint="eastAsia"/>
          <w:color w:val="0000FF"/>
        </w:rPr>
        <w:t>申请人的资格鉴定考试应包括基础考试（仅限3级）以及针对申请认证的每种方法的通用考试、专业考试和实际操作考试。</w:t>
      </w:r>
      <w:bookmarkStart w:id="1189" w:name="_Hlk493014000"/>
    </w:p>
    <w:p w14:paraId="7284700D">
      <w:pPr>
        <w:pStyle w:val="24"/>
        <w:rPr>
          <w:color w:val="000000" w:themeColor="text1"/>
          <w14:textFill>
            <w14:solidFill>
              <w14:schemeClr w14:val="tx1"/>
            </w14:solidFill>
          </w14:textFill>
        </w:rPr>
      </w:pPr>
      <w:r>
        <w:rPr>
          <w:rFonts w:hint="eastAsia"/>
        </w:rPr>
        <w:t>申请人在参加专业考试前应至少积累了表3所要求经历时间的7</w:t>
      </w:r>
      <w:r>
        <w:t>5%</w:t>
      </w:r>
      <w:r>
        <w:rPr>
          <w:rFonts w:hint="eastAsia"/>
        </w:rPr>
        <w:t>，参加实操考试前应</w:t>
      </w:r>
      <w:r>
        <w:rPr>
          <w:rFonts w:hint="eastAsia"/>
          <w:color w:val="0000FF"/>
        </w:rPr>
        <w:t>完成</w:t>
      </w:r>
      <w:r>
        <w:rPr>
          <w:rFonts w:hint="eastAsia"/>
        </w:rPr>
        <w:t>全部经历要求。</w:t>
      </w:r>
      <w:r>
        <w:rPr>
          <w:rFonts w:hint="eastAsia"/>
          <w:color w:val="000000" w:themeColor="text1"/>
          <w14:textFill>
            <w14:solidFill>
              <w14:schemeClr w14:val="tx1"/>
            </w14:solidFill>
          </w14:textFill>
        </w:rPr>
        <w:t>申请人在初次</w:t>
      </w:r>
      <w:r>
        <w:rPr>
          <w:rFonts w:hint="eastAsia"/>
          <w:color w:val="0000FF"/>
        </w:rPr>
        <w:t>认证</w:t>
      </w:r>
      <w:r>
        <w:rPr>
          <w:rFonts w:hint="eastAsia"/>
          <w:color w:val="000000" w:themeColor="text1"/>
          <w14:textFill>
            <w14:solidFill>
              <w14:schemeClr w14:val="tx1"/>
            </w14:solidFill>
          </w14:textFill>
        </w:rPr>
        <w:t>前应进行视力检查并在认证后定期检查</w:t>
      </w:r>
      <w:bookmarkEnd w:id="1189"/>
      <w:r>
        <w:rPr>
          <w:rFonts w:hint="eastAsia"/>
          <w:color w:val="000000" w:themeColor="text1"/>
          <w14:textFill>
            <w14:solidFill>
              <w14:schemeClr w14:val="tx1"/>
            </w14:solidFill>
          </w14:textFill>
        </w:rPr>
        <w:t>。</w:t>
      </w:r>
    </w:p>
    <w:p w14:paraId="0617C5A8">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只有在考试期间，试卷和试样才能提供</w:t>
      </w:r>
      <w:r>
        <w:rPr>
          <w:rFonts w:hint="eastAsia"/>
          <w:color w:val="0000FF"/>
        </w:rPr>
        <w:t>给申请资格鉴定的</w:t>
      </w:r>
      <w:r>
        <w:rPr>
          <w:rFonts w:hint="eastAsia"/>
          <w:color w:val="000000" w:themeColor="text1"/>
          <w14:textFill>
            <w14:solidFill>
              <w14:schemeClr w14:val="tx1"/>
            </w14:solidFill>
          </w14:textFill>
        </w:rPr>
        <w:t>人员。</w:t>
      </w:r>
    </w:p>
    <w:p w14:paraId="17ED32FE">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不允许对笔试试题进行口头翻译。</w:t>
      </w:r>
    </w:p>
    <w:p w14:paraId="17ED32FF">
      <w:pPr>
        <w:pStyle w:val="46"/>
        <w:spacing w:before="156" w:after="156"/>
        <w:ind w:left="0"/>
        <w:rPr>
          <w:color w:val="000000" w:themeColor="text1"/>
          <w14:textFill>
            <w14:solidFill>
              <w14:schemeClr w14:val="tx1"/>
            </w14:solidFill>
          </w14:textFill>
        </w:rPr>
      </w:pPr>
      <w:r>
        <w:rPr>
          <w:color w:val="000000" w:themeColor="text1"/>
          <w14:textFill>
            <w14:solidFill>
              <w14:schemeClr w14:val="tx1"/>
            </w14:solidFill>
          </w14:textFill>
        </w:rPr>
        <w:t>视力检查</w:t>
      </w:r>
    </w:p>
    <w:p w14:paraId="78C7A5E9">
      <w:pPr>
        <w:pStyle w:val="24"/>
        <w:rPr>
          <w:color w:val="000000" w:themeColor="text1"/>
          <w14:textFill>
            <w14:solidFill>
              <w14:schemeClr w14:val="tx1"/>
            </w14:solidFill>
          </w14:textFill>
        </w:rPr>
      </w:pPr>
      <w:r>
        <w:rPr>
          <w:rFonts w:hint="eastAsia"/>
        </w:rPr>
        <w:t>所有级别申请人</w:t>
      </w:r>
      <w:r>
        <w:rPr>
          <w:rFonts w:hint="eastAsia"/>
          <w:color w:val="000000" w:themeColor="text1"/>
          <w14:textFill>
            <w14:solidFill>
              <w14:schemeClr w14:val="tx1"/>
            </w14:solidFill>
          </w14:textFill>
        </w:rPr>
        <w:t>的近距离视力和辨色力应满足表7的要求。</w:t>
      </w:r>
      <w:r>
        <w:rPr>
          <w:rFonts w:hint="eastAsia" w:hAnsi="Arial"/>
          <w:color w:val="000000" w:themeColor="text1"/>
          <w14:textFill>
            <w14:solidFill>
              <w14:schemeClr w14:val="tx1"/>
            </w14:solidFill>
          </w14:textFill>
        </w:rPr>
        <w:t>视力要求不适用于教员和审核员。</w:t>
      </w:r>
      <w:r>
        <w:rPr>
          <w:rFonts w:hint="eastAsia"/>
          <w:color w:val="000000" w:themeColor="text1"/>
          <w14:textFill>
            <w14:solidFill>
              <w14:schemeClr w14:val="tx1"/>
            </w14:solidFill>
          </w14:textFill>
        </w:rPr>
        <w:t>近距离视力检查应每年进行一次，辨色力检查应</w:t>
      </w:r>
      <w:r>
        <w:rPr>
          <w:rFonts w:hint="eastAsia" w:hAnsi="Arial"/>
          <w:color w:val="000000" w:themeColor="text1"/>
          <w14:textFill>
            <w14:solidFill>
              <w14:schemeClr w14:val="tx1"/>
            </w14:solidFill>
          </w14:textFill>
        </w:rPr>
        <w:t>至少每5年进行一次</w:t>
      </w:r>
      <w:r>
        <w:rPr>
          <w:rFonts w:hint="eastAsia"/>
          <w:color w:val="000000" w:themeColor="text1"/>
          <w14:textFill>
            <w14:solidFill>
              <w14:schemeClr w14:val="tx1"/>
            </w14:solidFill>
          </w14:textFill>
        </w:rPr>
        <w:t>。</w:t>
      </w:r>
    </w:p>
    <w:p w14:paraId="17ED3300">
      <w:pPr>
        <w:pStyle w:val="24"/>
        <w:rPr>
          <w:color w:val="0000FF"/>
        </w:rPr>
      </w:pPr>
      <w:r>
        <w:rPr>
          <w:rFonts w:hint="eastAsia"/>
          <w:color w:val="000000" w:themeColor="text1"/>
          <w14:textFill>
            <w14:solidFill>
              <w14:schemeClr w14:val="tx1"/>
            </w14:solidFill>
          </w14:textFill>
        </w:rPr>
        <w:t>雇主应确保将表7中的视力检查要求传达给所有必要人员和机构，采用斯内伦视力表或耶格视力表时，测试人员应是由责任3级人员指定的接受过培训的人员或有资质的医务人员。当申请人以矫正视力通过视力检查时，</w:t>
      </w:r>
      <w:r>
        <w:rPr>
          <w:rFonts w:hint="eastAsia"/>
          <w:color w:val="0000FF"/>
        </w:rPr>
        <w:t>其执行检测时也</w:t>
      </w:r>
      <w:r>
        <w:rPr>
          <w:rFonts w:hint="eastAsia"/>
          <w:color w:val="000000" w:themeColor="text1"/>
          <w14:textFill>
            <w14:solidFill>
              <w14:schemeClr w14:val="tx1"/>
            </w14:solidFill>
          </w14:textFill>
        </w:rPr>
        <w:t>应在矫正视力下进行。辨色力的任何限制应由责任3级人员在</w:t>
      </w:r>
      <w:r>
        <w:rPr>
          <w:rFonts w:hint="eastAsia" w:hAnsi="Arial"/>
          <w:color w:val="000000" w:themeColor="text1"/>
          <w14:textFill>
            <w14:solidFill>
              <w14:schemeClr w14:val="tx1"/>
            </w14:solidFill>
          </w14:textFill>
        </w:rPr>
        <w:t>认证</w:t>
      </w:r>
      <w:r>
        <w:rPr>
          <w:rFonts w:hint="eastAsia"/>
          <w:color w:val="000000" w:themeColor="text1"/>
          <w14:textFill>
            <w14:solidFill>
              <w14:schemeClr w14:val="tx1"/>
            </w14:solidFill>
          </w14:textFill>
        </w:rPr>
        <w:t>之前给予评估并且应经书面批准。</w:t>
      </w:r>
      <w:r>
        <w:rPr>
          <w:rFonts w:hint="eastAsia"/>
          <w:color w:val="0000FF"/>
        </w:rPr>
        <w:t>在发生任何可能影响视力的状况或程序后，应通知责任3级人员，并对该人员重新进行视力检查，以验证其是否符合表7的要求。</w:t>
      </w:r>
    </w:p>
    <w:p w14:paraId="24DF4E77">
      <w:pPr>
        <w:pStyle w:val="24"/>
        <w:rPr>
          <w:color w:val="000000" w:themeColor="text1"/>
          <w14:textFill>
            <w14:solidFill>
              <w14:schemeClr w14:val="tx1"/>
            </w14:solidFill>
          </w14:textFill>
        </w:rPr>
      </w:pPr>
    </w:p>
    <w:p w14:paraId="17ED3301">
      <w:pPr>
        <w:pStyle w:val="126"/>
        <w:spacing w:before="156" w:after="156"/>
        <w:rPr>
          <w:color w:val="000000" w:themeColor="text1"/>
          <w14:textFill>
            <w14:solidFill>
              <w14:schemeClr w14:val="tx1"/>
            </w14:solidFill>
          </w14:textFill>
        </w:rPr>
      </w:pPr>
      <w:bookmarkStart w:id="1190" w:name="_Toc50625110"/>
      <w:r>
        <w:rPr>
          <w:rFonts w:hint="eastAsia"/>
          <w:color w:val="000000" w:themeColor="text1"/>
          <w14:textFill>
            <w14:solidFill>
              <w14:schemeClr w14:val="tx1"/>
            </w14:solidFill>
          </w14:textFill>
        </w:rPr>
        <w:t>表7   视力检查要求</w:t>
      </w:r>
      <w:bookmarkEnd w:id="1190"/>
    </w:p>
    <w:tbl>
      <w:tblPr>
        <w:tblStyle w:val="33"/>
        <w:tblW w:w="934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0"/>
        <w:gridCol w:w="7615"/>
      </w:tblGrid>
      <w:tr w14:paraId="17ED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0" w:type="dxa"/>
            <w:vAlign w:val="center"/>
          </w:tcPr>
          <w:p w14:paraId="17ED3302">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检查项目</w:t>
            </w:r>
          </w:p>
        </w:tc>
        <w:tc>
          <w:tcPr>
            <w:tcW w:w="7615" w:type="dxa"/>
            <w:vAlign w:val="center"/>
          </w:tcPr>
          <w:p w14:paraId="17ED3303">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视力要求</w:t>
            </w:r>
          </w:p>
        </w:tc>
      </w:tr>
      <w:tr w14:paraId="17ED3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0" w:type="dxa"/>
            <w:vAlign w:val="center"/>
          </w:tcPr>
          <w:p w14:paraId="644CEDA6">
            <w:pPr>
              <w:pStyle w:val="19"/>
              <w:snapToGrid/>
              <w:spacing w:line="400" w:lineRule="exact"/>
              <w:jc w:val="center"/>
              <w:rPr>
                <w:rFonts w:ascii="宋体" w:hAnsi="Arial"/>
                <w:color w:val="0000FF"/>
                <w:szCs w:val="24"/>
              </w:rPr>
            </w:pPr>
            <w:r>
              <w:rPr>
                <w:rFonts w:hint="eastAsia" w:ascii="宋体" w:hAnsi="Arial"/>
                <w:color w:val="0000FF"/>
                <w:szCs w:val="24"/>
              </w:rPr>
              <w:t>近距离视力</w:t>
            </w:r>
          </w:p>
          <w:p w14:paraId="17ED3305">
            <w:pPr>
              <w:pStyle w:val="19"/>
              <w:snapToGrid/>
              <w:spacing w:line="400" w:lineRule="exact"/>
              <w:jc w:val="center"/>
              <w:rPr>
                <w:rFonts w:ascii="宋体" w:hAnsi="Arial"/>
                <w:color w:val="000000" w:themeColor="text1"/>
                <w:szCs w:val="24"/>
                <w14:textFill>
                  <w14:solidFill>
                    <w14:schemeClr w14:val="tx1"/>
                  </w14:solidFill>
                </w14:textFill>
              </w:rPr>
            </w:pPr>
            <w:r>
              <w:rPr>
                <w:rFonts w:hint="eastAsia" w:ascii="宋体" w:hAnsi="Arial"/>
                <w:color w:val="0000FF"/>
                <w:szCs w:val="24"/>
              </w:rPr>
              <w:t>（至少选择1项）</w:t>
            </w:r>
          </w:p>
        </w:tc>
        <w:tc>
          <w:tcPr>
            <w:tcW w:w="7615" w:type="dxa"/>
            <w:vAlign w:val="center"/>
          </w:tcPr>
          <w:p w14:paraId="17ED3306">
            <w:pPr>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 按照ISO 18490 识别翻转E字符的开口方向；</w:t>
            </w:r>
          </w:p>
          <w:p w14:paraId="17ED3307">
            <w:pPr>
              <w:ind w:left="272" w:hanging="271" w:hangingChars="151"/>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 在16英寸（40.64厘米）+/- 1英寸（2.54厘米）距离，视力达到20/25 （斯内伦表示法）</w:t>
            </w:r>
            <w:r>
              <w:rPr>
                <w:color w:val="000000" w:themeColor="text1"/>
                <w:sz w:val="18"/>
                <w:szCs w:val="18"/>
                <w14:textFill>
                  <w14:solidFill>
                    <w14:schemeClr w14:val="tx1"/>
                  </w14:solidFill>
                </w14:textFill>
              </w:rPr>
              <w:t>*</w:t>
            </w:r>
          </w:p>
          <w:p w14:paraId="17ED3308">
            <w:pPr>
              <w:rPr>
                <w:rFonts w:ascii="宋体" w:hAnsi="Arial"/>
                <w:color w:val="000000" w:themeColor="text1"/>
                <w:sz w:val="18"/>
                <w14:textFill>
                  <w14:solidFill>
                    <w14:schemeClr w14:val="tx1"/>
                  </w14:solidFill>
                </w14:textFill>
              </w:rPr>
            </w:pPr>
            <w:r>
              <w:rPr>
                <w:rFonts w:hint="eastAsia"/>
                <w:color w:val="000000" w:themeColor="text1"/>
                <w:sz w:val="18"/>
                <w:szCs w:val="18"/>
                <w14:textFill>
                  <w14:solidFill>
                    <w14:schemeClr w14:val="tx1"/>
                  </w14:solidFill>
                </w14:textFill>
              </w:rPr>
              <w:t>3. 在不小于12英寸（30.48厘米）处能识别耶格视力表上J1的字符</w:t>
            </w:r>
            <w:r>
              <w:rPr>
                <w:color w:val="000000" w:themeColor="text1"/>
                <w:sz w:val="18"/>
                <w:szCs w:val="18"/>
                <w14:textFill>
                  <w14:solidFill>
                    <w14:schemeClr w14:val="tx1"/>
                  </w14:solidFill>
                </w14:textFill>
              </w:rPr>
              <w:t>*</w:t>
            </w:r>
          </w:p>
        </w:tc>
      </w:tr>
      <w:tr w14:paraId="17ED3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0" w:type="dxa"/>
            <w:vAlign w:val="center"/>
          </w:tcPr>
          <w:p w14:paraId="17ED330A">
            <w:pPr>
              <w:spacing w:line="400" w:lineRule="exact"/>
              <w:jc w:val="center"/>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辨色力</w:t>
            </w:r>
          </w:p>
        </w:tc>
        <w:tc>
          <w:tcPr>
            <w:tcW w:w="7615" w:type="dxa"/>
            <w:vAlign w:val="center"/>
          </w:tcPr>
          <w:p w14:paraId="17ED330B">
            <w:pPr>
              <w:spacing w:line="400" w:lineRule="exact"/>
              <w:rPr>
                <w:rFonts w:ascii="宋体" w:hAnsi="Arial"/>
                <w:color w:val="000000" w:themeColor="text1"/>
                <w:sz w:val="18"/>
                <w14:textFill>
                  <w14:solidFill>
                    <w14:schemeClr w14:val="tx1"/>
                  </w14:solidFill>
                </w14:textFill>
              </w:rPr>
            </w:pPr>
            <w:r>
              <w:rPr>
                <w:rFonts w:hint="eastAsia" w:ascii="宋体" w:hAnsi="Arial"/>
                <w:color w:val="000000" w:themeColor="text1"/>
                <w:sz w:val="18"/>
                <w14:textFill>
                  <w14:solidFill>
                    <w14:schemeClr w14:val="tx1"/>
                  </w14:solidFill>
                </w14:textFill>
              </w:rPr>
              <w:t>应具备对相应方法中使用的颜色有足够的分辨和区分能力。</w:t>
            </w:r>
          </w:p>
        </w:tc>
      </w:tr>
      <w:tr w14:paraId="17ED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5" w:type="dxa"/>
            <w:gridSpan w:val="2"/>
            <w:vAlign w:val="center"/>
          </w:tcPr>
          <w:p w14:paraId="17ED330D">
            <w:pPr>
              <w:pStyle w:val="121"/>
              <w:ind w:left="0" w:firstLine="90" w:firstLineChars="50"/>
              <w:rPr>
                <w:color w:val="000000" w:themeColor="text1"/>
                <w14:textFill>
                  <w14:solidFill>
                    <w14:schemeClr w14:val="tx1"/>
                  </w14:solidFill>
                </w14:textFill>
              </w:rPr>
            </w:pPr>
            <w:r>
              <w:rPr>
                <w:rFonts w:hint="eastAsia" w:hAnsi="宋体"/>
                <w:color w:val="000000" w:themeColor="text1"/>
                <w14:textFill>
                  <w14:solidFill>
                    <w14:schemeClr w14:val="tx1"/>
                  </w14:solidFill>
                </w14:textFill>
              </w:rPr>
              <w:t>*</w:t>
            </w:r>
            <w:r>
              <w:rPr>
                <w:rFonts w:hint="eastAsia"/>
                <w:color w:val="000000" w:themeColor="text1"/>
                <w14:textFill>
                  <w14:solidFill>
                    <w14:schemeClr w14:val="tx1"/>
                  </w14:solidFill>
                </w14:textFill>
              </w:rPr>
              <w:t>至少一只眼睛的裸视力或矫正视力。</w:t>
            </w:r>
            <w:r>
              <w:rPr>
                <w:rFonts w:hint="eastAsia"/>
              </w:rPr>
              <w:t>不允许采用模拟的视力测试或距离。</w:t>
            </w:r>
          </w:p>
        </w:tc>
      </w:tr>
    </w:tbl>
    <w:p w14:paraId="17ED3310">
      <w:pPr>
        <w:pStyle w:val="46"/>
        <w:spacing w:before="156" w:after="156"/>
        <w:ind w:left="0"/>
        <w:rPr>
          <w:color w:val="0000FF"/>
        </w:rPr>
      </w:pPr>
      <w:r>
        <w:rPr>
          <w:rFonts w:hint="eastAsia"/>
          <w:color w:val="0000FF"/>
        </w:rPr>
        <w:t>基础考试</w:t>
      </w:r>
    </w:p>
    <w:p w14:paraId="016A4026">
      <w:pPr>
        <w:pStyle w:val="24"/>
        <w:rPr>
          <w:color w:val="0000FF"/>
        </w:rPr>
      </w:pPr>
      <w:r>
        <w:rPr>
          <w:rFonts w:hint="eastAsia"/>
          <w:color w:val="0000FF"/>
        </w:rPr>
        <w:t>对于初始3级资格鉴定，需进行基础考试。基础考试应由以下3个部分组成：</w:t>
      </w:r>
    </w:p>
    <w:p w14:paraId="1342EC3F">
      <w:pPr>
        <w:pStyle w:val="48"/>
        <w:rPr>
          <w:color w:val="0000FF"/>
        </w:rPr>
      </w:pPr>
      <w:r>
        <w:rPr>
          <w:rFonts w:hint="eastAsia"/>
          <w:color w:val="0000FF"/>
        </w:rPr>
        <w:t>每个方法至少10道闭卷试题，涵盖责任3级人员从表1中选出的至少4种无损检测方法，包括雇主所使用的无损检测方法（责任3级人员或</w:t>
      </w:r>
      <w:r>
        <w:rPr>
          <w:rFonts w:hint="eastAsia"/>
          <w:color w:val="0000FF"/>
          <w:lang w:eastAsia="zh-CN"/>
        </w:rPr>
        <w:t>中国民用航空维修协会无损检测人员资格鉴定专业委员会</w:t>
      </w:r>
      <w:r>
        <w:rPr>
          <w:rFonts w:hint="eastAsia"/>
          <w:color w:val="0000FF"/>
        </w:rPr>
        <w:t>可规定方法的选择方式）；</w:t>
      </w:r>
    </w:p>
    <w:p w14:paraId="642BA3A1">
      <w:pPr>
        <w:pStyle w:val="48"/>
        <w:rPr>
          <w:color w:val="0000FF"/>
        </w:rPr>
      </w:pPr>
      <w:r>
        <w:rPr>
          <w:rFonts w:hint="eastAsia"/>
          <w:color w:val="0000FF"/>
        </w:rPr>
        <w:t>至少10道闭卷试题，涵盖材料与制造工艺；</w:t>
      </w:r>
    </w:p>
    <w:p w14:paraId="79314FAC">
      <w:pPr>
        <w:pStyle w:val="48"/>
        <w:rPr>
          <w:color w:val="0000FF"/>
        </w:rPr>
      </w:pPr>
      <w:r>
        <w:rPr>
          <w:rFonts w:hint="eastAsia"/>
          <w:color w:val="0000FF"/>
        </w:rPr>
        <w:t>至少10道开卷试题，涵盖</w:t>
      </w:r>
      <w:r>
        <w:rPr>
          <w:color w:val="0000FF"/>
        </w:rPr>
        <w:t>T/CAMAC 0001</w:t>
      </w:r>
      <w:r>
        <w:rPr>
          <w:rFonts w:hint="eastAsia"/>
          <w:color w:val="0000FF"/>
        </w:rPr>
        <w:t>的要求。</w:t>
      </w:r>
    </w:p>
    <w:p w14:paraId="03C2F1AD">
      <w:pPr>
        <w:pStyle w:val="24"/>
        <w:rPr>
          <w:color w:val="0000FF"/>
        </w:rPr>
      </w:pPr>
      <w:r>
        <w:rPr>
          <w:rFonts w:hint="eastAsia"/>
          <w:color w:val="0000FF"/>
        </w:rPr>
        <w:t>基础考试每部分的及格分数应为80%。基础考试是认证考试的先决条件，其成绩不计入认证考试的综合分数。</w:t>
      </w:r>
    </w:p>
    <w:p w14:paraId="5904CC15">
      <w:pPr>
        <w:pStyle w:val="24"/>
        <w:rPr>
          <w:color w:val="0000FF"/>
        </w:rPr>
      </w:pPr>
      <w:r>
        <w:rPr>
          <w:color w:val="0000FF"/>
        </w:rPr>
        <w:t>通过基础考试是任何3级</w:t>
      </w:r>
      <w:r>
        <w:rPr>
          <w:rFonts w:hint="eastAsia"/>
          <w:color w:val="0000FF"/>
        </w:rPr>
        <w:t>申请人</w:t>
      </w:r>
      <w:r>
        <w:rPr>
          <w:color w:val="0000FF"/>
        </w:rPr>
        <w:t>的先决条件，且应在方法认证之前完成。每位3级</w:t>
      </w:r>
      <w:r>
        <w:rPr>
          <w:rFonts w:hint="eastAsia"/>
          <w:color w:val="0000FF"/>
        </w:rPr>
        <w:t>申请</w:t>
      </w:r>
      <w:r>
        <w:rPr>
          <w:color w:val="0000FF"/>
        </w:rPr>
        <w:t>人仅需参加1次基础考试，无需为所认证的每种方法重复进行。当提交有效的GB/T3643</w:t>
      </w:r>
      <w:r>
        <w:rPr>
          <w:rFonts w:hint="eastAsia"/>
          <w:color w:val="0000FF"/>
        </w:rPr>
        <w:t>9、GJB9712、</w:t>
      </w:r>
      <w:r>
        <w:rPr>
          <w:color w:val="0000FF"/>
        </w:rPr>
        <w:t>ASNT、</w:t>
      </w:r>
      <w:r>
        <w:rPr>
          <w:rFonts w:hint="eastAsia"/>
          <w:color w:val="0000FF"/>
        </w:rPr>
        <w:t>NAS410、EN</w:t>
      </w:r>
      <w:r>
        <w:rPr>
          <w:color w:val="0000FF"/>
        </w:rPr>
        <w:t>4179</w:t>
      </w:r>
      <w:r>
        <w:rPr>
          <w:rFonts w:hint="eastAsia"/>
          <w:color w:val="0000FF"/>
        </w:rPr>
        <w:t>或</w:t>
      </w:r>
      <w:r>
        <w:rPr>
          <w:color w:val="0000FF"/>
        </w:rPr>
        <w:t>ISO9712作为基础考试的证明时，应</w:t>
      </w:r>
      <w:r>
        <w:rPr>
          <w:rFonts w:hint="eastAsia"/>
          <w:color w:val="0000FF"/>
        </w:rPr>
        <w:t>补充进行</w:t>
      </w:r>
      <w:r>
        <w:rPr>
          <w:color w:val="0000FF"/>
        </w:rPr>
        <w:t>涵盖</w:t>
      </w:r>
      <w:r>
        <w:rPr>
          <w:rFonts w:hint="eastAsia"/>
          <w:color w:val="0000FF"/>
        </w:rPr>
        <w:t>T/CAMAC 0001</w:t>
      </w:r>
      <w:r>
        <w:rPr>
          <w:color w:val="0000FF"/>
        </w:rPr>
        <w:t>要求的考试。</w:t>
      </w:r>
    </w:p>
    <w:p w14:paraId="436CBA28">
      <w:pPr>
        <w:pStyle w:val="63"/>
        <w:spacing w:before="156" w:beforeLines="50" w:after="156" w:afterLines="50"/>
        <w:rPr>
          <w:rFonts w:hint="eastAsia" w:hAnsi="黑体"/>
        </w:rPr>
      </w:pPr>
      <w:r>
        <w:rPr>
          <w:rFonts w:hint="eastAsia" w:ascii="黑体" w:hAnsi="黑体" w:eastAsia="黑体"/>
        </w:rPr>
        <w:t>通用考试</w:t>
      </w:r>
    </w:p>
    <w:p w14:paraId="12A71466">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所有级别的通用考试应是闭卷考试。试题应涵盖所</w:t>
      </w:r>
      <w:r>
        <w:rPr>
          <w:rFonts w:hint="eastAsia" w:hAnsi="Arial"/>
          <w:color w:val="000000" w:themeColor="text1"/>
          <w14:textFill>
            <w14:solidFill>
              <w14:schemeClr w14:val="tx1"/>
            </w14:solidFill>
          </w14:textFill>
        </w:rPr>
        <w:t>认证</w:t>
      </w:r>
      <w:r>
        <w:rPr>
          <w:rFonts w:hint="eastAsia"/>
          <w:color w:val="000000" w:themeColor="text1"/>
          <w14:textFill>
            <w14:solidFill>
              <w14:schemeClr w14:val="tx1"/>
            </w14:solidFill>
          </w14:textFill>
        </w:rPr>
        <w:t>方法相应等级的具有代表性的内容。1、2、3级</w:t>
      </w:r>
      <w:r>
        <w:rPr>
          <w:rFonts w:hint="eastAsia"/>
          <w:color w:val="0000FF"/>
        </w:rPr>
        <w:t>通用考试试题数量</w:t>
      </w:r>
      <w:r>
        <w:rPr>
          <w:rFonts w:hint="eastAsia"/>
          <w:color w:val="000000" w:themeColor="text1"/>
          <w14:textFill>
            <w14:solidFill>
              <w14:schemeClr w14:val="tx1"/>
            </w14:solidFill>
          </w14:textFill>
        </w:rPr>
        <w:t>应</w:t>
      </w:r>
      <w:r>
        <w:rPr>
          <w:rFonts w:hint="eastAsia" w:hAnsi="Arial"/>
          <w:color w:val="000000" w:themeColor="text1"/>
          <w14:textFill>
            <w14:solidFill>
              <w14:schemeClr w14:val="tx1"/>
            </w14:solidFill>
          </w14:textFill>
        </w:rPr>
        <w:t>不少于</w:t>
      </w:r>
      <w:r>
        <w:rPr>
          <w:rFonts w:hint="eastAsia"/>
          <w:color w:val="000000" w:themeColor="text1"/>
          <w14:textFill>
            <w14:solidFill>
              <w14:schemeClr w14:val="tx1"/>
            </w14:solidFill>
          </w14:textFill>
        </w:rPr>
        <w:t>40题。</w:t>
      </w:r>
    </w:p>
    <w:p w14:paraId="17ED3311">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当雇主书面实施规程有规定时，获得</w:t>
      </w:r>
      <w:r>
        <w:rPr>
          <w:color w:val="0000FF"/>
        </w:rPr>
        <w:t>GB/T3643</w:t>
      </w:r>
      <w:r>
        <w:rPr>
          <w:rFonts w:hint="eastAsia"/>
          <w:color w:val="0000FF"/>
        </w:rPr>
        <w:t>9、GJB9712、ASNT、NAS410、EN</w:t>
      </w:r>
      <w:r>
        <w:rPr>
          <w:color w:val="0000FF"/>
        </w:rPr>
        <w:t>4179</w:t>
      </w:r>
      <w:r>
        <w:rPr>
          <w:rFonts w:hint="eastAsia"/>
          <w:color w:val="000000" w:themeColor="text1"/>
          <w14:textFill>
            <w14:solidFill>
              <w14:schemeClr w14:val="tx1"/>
            </w14:solidFill>
          </w14:textFill>
        </w:rPr>
        <w:t>或ISO9712</w:t>
      </w:r>
      <w:r>
        <w:rPr>
          <w:rFonts w:hint="eastAsia"/>
          <w:szCs w:val="21"/>
        </w:rPr>
        <w:t>的</w:t>
      </w:r>
      <w:r>
        <w:rPr>
          <w:rFonts w:hint="eastAsia"/>
        </w:rPr>
        <w:t>相</w:t>
      </w:r>
      <w:r>
        <w:rPr>
          <w:rFonts w:hint="eastAsia"/>
          <w:color w:val="000000" w:themeColor="text1"/>
          <w14:textFill>
            <w14:solidFill>
              <w14:schemeClr w14:val="tx1"/>
            </w14:solidFill>
          </w14:textFill>
        </w:rPr>
        <w:t>应等级</w:t>
      </w:r>
      <w:r>
        <w:rPr>
          <w:rFonts w:hint="eastAsia"/>
          <w:color w:val="0000FF"/>
        </w:rPr>
        <w:t>和方法</w:t>
      </w:r>
      <w:r>
        <w:rPr>
          <w:rFonts w:hint="eastAsia"/>
          <w:color w:val="000000" w:themeColor="text1"/>
          <w14:textFill>
            <w14:solidFill>
              <w14:schemeClr w14:val="tx1"/>
            </w14:solidFill>
          </w14:textFill>
        </w:rPr>
        <w:t>有效认证的申请人，可以被认定为通过通用考试。</w:t>
      </w:r>
    </w:p>
    <w:p w14:paraId="17ED3312">
      <w:pPr>
        <w:pStyle w:val="46"/>
        <w:spacing w:before="156" w:after="156"/>
        <w:ind w:left="0"/>
        <w:rPr>
          <w:rFonts w:hint="eastAsia" w:hAnsi="宋体"/>
          <w:bCs/>
          <w:color w:val="000000" w:themeColor="text1"/>
          <w14:textFill>
            <w14:solidFill>
              <w14:schemeClr w14:val="tx1"/>
            </w14:solidFill>
          </w14:textFill>
        </w:rPr>
      </w:pPr>
      <w:r>
        <w:rPr>
          <w:color w:val="000000" w:themeColor="text1"/>
          <w14:textFill>
            <w14:solidFill>
              <w14:schemeClr w14:val="tx1"/>
            </w14:solidFill>
          </w14:textFill>
        </w:rPr>
        <w:t>专业考试</w:t>
      </w:r>
      <w:r>
        <w:rPr>
          <w:rFonts w:hAnsi="宋体"/>
          <w:bCs/>
          <w:color w:val="000000" w:themeColor="text1"/>
          <w14:textFill>
            <w14:solidFill>
              <w14:schemeClr w14:val="tx1"/>
            </w14:solidFill>
          </w14:textFill>
        </w:rPr>
        <w:t xml:space="preserve"> </w:t>
      </w:r>
    </w:p>
    <w:p w14:paraId="1C5B4F21">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专业考试应为开卷考试。</w:t>
      </w:r>
      <w:r>
        <w:rPr>
          <w:rFonts w:hint="eastAsia"/>
          <w:color w:val="0000FF"/>
        </w:rPr>
        <w:t>考试内容应包括申请人为雇主执行职责时使用的规范、法规、标准、设备、操作工艺规程、产品知识以及技术的使用和要求</w:t>
      </w:r>
      <w:r>
        <w:rPr>
          <w:rFonts w:hint="eastAsia"/>
          <w:color w:val="000000" w:themeColor="text1"/>
          <w14:textFill>
            <w14:solidFill>
              <w14:schemeClr w14:val="tx1"/>
            </w14:solidFill>
          </w14:textFill>
        </w:rPr>
        <w:t>。</w:t>
      </w:r>
    </w:p>
    <w:p w14:paraId="646DCFE8">
      <w:pPr>
        <w:pStyle w:val="24"/>
        <w:rPr>
          <w:color w:val="0000FF"/>
        </w:rPr>
      </w:pPr>
      <w:r>
        <w:rPr>
          <w:rFonts w:hint="eastAsia"/>
          <w:color w:val="000000" w:themeColor="text1"/>
          <w14:textFill>
            <w14:solidFill>
              <w14:schemeClr w14:val="tx1"/>
            </w14:solidFill>
          </w14:textFill>
        </w:rPr>
        <w:t>1、2、3级</w:t>
      </w:r>
      <w:r>
        <w:rPr>
          <w:rFonts w:hint="eastAsia"/>
          <w:color w:val="0000FF"/>
        </w:rPr>
        <w:t>专业考试试题数量</w:t>
      </w:r>
      <w:r>
        <w:rPr>
          <w:rFonts w:hint="eastAsia"/>
          <w:color w:val="000000" w:themeColor="text1"/>
          <w14:textFill>
            <w14:solidFill>
              <w14:schemeClr w14:val="tx1"/>
            </w14:solidFill>
          </w14:textFill>
        </w:rPr>
        <w:t>最少为30题。可以提供由责任</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级人员或主考人批准的规范、</w:t>
      </w:r>
      <w:r>
        <w:rPr>
          <w:rFonts w:hint="eastAsia"/>
          <w:color w:val="0000FF"/>
        </w:rPr>
        <w:t>图表</w:t>
      </w:r>
      <w:r>
        <w:rPr>
          <w:rFonts w:hint="eastAsia"/>
          <w:color w:val="000000" w:themeColor="text1"/>
          <w14:textFill>
            <w14:solidFill>
              <w14:schemeClr w14:val="tx1"/>
            </w14:solidFill>
          </w14:textFill>
        </w:rPr>
        <w:t>、公式等参考资料用于专业考试。要求使用此类参考资料的试题，应是考查申请人理解资料中与试题相关信息的能力，而不是仅仅能够从参考资料中直接找到答案。</w:t>
      </w:r>
      <w:r>
        <w:rPr>
          <w:rFonts w:hint="eastAsia"/>
          <w:color w:val="0000FF"/>
        </w:rPr>
        <w:t>选择题应至少设置3个选项。判断题应包括对判断结果的解释。</w:t>
      </w:r>
    </w:p>
    <w:p w14:paraId="17ED3316">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实际操作考试</w:t>
      </w:r>
    </w:p>
    <w:p w14:paraId="1C444D76">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实际操作考试应能证明申请人完成与其等级职责相一致的典型工作的熟练程度。如果要求申请人完成操作并考查其熟练程度，同时也要求解释检测结果，则应使用实物试件作为考试试样。</w:t>
      </w:r>
    </w:p>
    <w:p w14:paraId="57BA33D0">
      <w:pPr>
        <w:pStyle w:val="24"/>
        <w:rPr>
          <w:color w:val="000000" w:themeColor="text1"/>
          <w14:textFill>
            <w14:solidFill>
              <w14:schemeClr w14:val="tx1"/>
            </w14:solidFill>
          </w14:textFill>
        </w:rPr>
      </w:pPr>
      <w:r>
        <w:rPr>
          <w:rFonts w:hint="eastAsia"/>
          <w:color w:val="0000FF"/>
        </w:rPr>
        <w:t>申请人不应熟悉考试试样以及试样中不连续的位置</w:t>
      </w:r>
      <w:r>
        <w:rPr>
          <w:rFonts w:hint="eastAsia" w:hAnsi="Arial"/>
          <w:color w:val="000000" w:themeColor="text1"/>
          <w14:textFill>
            <w14:solidFill>
              <w14:schemeClr w14:val="tx1"/>
            </w14:solidFill>
          </w14:textFill>
        </w:rPr>
        <w:t>。</w:t>
      </w:r>
      <w:r>
        <w:rPr>
          <w:rFonts w:hint="eastAsia"/>
          <w:color w:val="000000" w:themeColor="text1"/>
          <w14:textFill>
            <w14:solidFill>
              <w14:schemeClr w14:val="tx1"/>
            </w14:solidFill>
          </w14:textFill>
        </w:rPr>
        <w:t>如果仅要求申请人解释检测结果而不要求完成实际的操作过程，则可使用图像作为考试试样，如射线底片</w:t>
      </w:r>
      <w:r>
        <w:rPr>
          <w:rFonts w:hint="eastAsia" w:hAnsi="Arial"/>
          <w:color w:val="000000" w:themeColor="text1"/>
          <w14:textFill>
            <w14:solidFill>
              <w14:schemeClr w14:val="tx1"/>
            </w14:solidFill>
          </w14:textFill>
        </w:rPr>
        <w:t>或其他检测图表</w:t>
      </w:r>
      <w:r>
        <w:rPr>
          <w:rFonts w:hint="eastAsia"/>
          <w:color w:val="000000" w:themeColor="text1"/>
          <w14:textFill>
            <w14:solidFill>
              <w14:schemeClr w14:val="tx1"/>
            </w14:solidFill>
          </w14:textFill>
        </w:rPr>
        <w:t>。为保证足够的覆盖面并有助于管理和考试评分，应由责任3级人员或主考人按以下要求制订</w:t>
      </w:r>
      <w:r>
        <w:rPr>
          <w:rFonts w:hint="eastAsia"/>
          <w:color w:val="0000FF"/>
        </w:rPr>
        <w:t>并完成</w:t>
      </w:r>
      <w:r>
        <w:rPr>
          <w:rFonts w:hint="eastAsia"/>
          <w:color w:val="000000" w:themeColor="text1"/>
          <w14:textFill>
            <w14:solidFill>
              <w14:schemeClr w14:val="tx1"/>
            </w14:solidFill>
          </w14:textFill>
        </w:rPr>
        <w:t>详细的</w:t>
      </w:r>
      <w:r>
        <w:rPr>
          <w:rFonts w:hint="eastAsia"/>
          <w:color w:val="0000FF"/>
        </w:rPr>
        <w:t>书面检查单</w:t>
      </w:r>
      <w:r>
        <w:rPr>
          <w:rFonts w:hint="eastAsia"/>
          <w:color w:val="000000" w:themeColor="text1"/>
          <w14:textFill>
            <w14:solidFill>
              <w14:schemeClr w14:val="tx1"/>
            </w14:solidFill>
          </w14:textFill>
        </w:rPr>
        <w:t>。</w:t>
      </w:r>
    </w:p>
    <w:p w14:paraId="17ED3317">
      <w:pPr>
        <w:pStyle w:val="24"/>
        <w:rPr>
          <w:rFonts w:ascii="Arial" w:hAnsi="Arial" w:cs="Arial"/>
          <w:color w:val="000000" w:themeColor="text1"/>
          <w14:textFill>
            <w14:solidFill>
              <w14:schemeClr w14:val="tx1"/>
            </w14:solidFill>
          </w14:textFill>
        </w:rPr>
      </w:pPr>
      <w:r>
        <w:rPr>
          <w:rFonts w:hint="eastAsia" w:hAnsi="Arial"/>
          <w:color w:val="000000" w:themeColor="text1"/>
          <w14:textFill>
            <w14:solidFill>
              <w14:schemeClr w14:val="tx1"/>
            </w14:solidFill>
          </w14:textFill>
        </w:rPr>
        <w:t>除</w:t>
      </w:r>
      <w:r>
        <w:rPr>
          <w:rFonts w:hint="eastAsia" w:hAnsi="Arial"/>
          <w:color w:val="0000FF"/>
        </w:rPr>
        <w:t>使用检查单外</w:t>
      </w:r>
      <w:r>
        <w:rPr>
          <w:rFonts w:hint="eastAsia" w:hAnsi="Arial"/>
          <w:color w:val="000000" w:themeColor="text1"/>
          <w14:textFill>
            <w14:solidFill>
              <w14:schemeClr w14:val="tx1"/>
            </w14:solidFill>
          </w14:textFill>
        </w:rPr>
        <w:t>，责任3级人员或</w:t>
      </w:r>
      <w:r>
        <w:rPr>
          <w:rFonts w:hint="eastAsia"/>
          <w:color w:val="000000" w:themeColor="text1"/>
          <w14:textFill>
            <w14:solidFill>
              <w14:schemeClr w14:val="tx1"/>
            </w14:solidFill>
          </w14:textFill>
        </w:rPr>
        <w:t>主考人</w:t>
      </w:r>
      <w:r>
        <w:rPr>
          <w:rFonts w:hint="eastAsia" w:ascii="Arial" w:hAnsi="Arial" w:cs="Arial"/>
          <w:color w:val="000000" w:themeColor="text1"/>
          <w14:textFill>
            <w14:solidFill>
              <w14:schemeClr w14:val="tx1"/>
            </w14:solidFill>
          </w14:textFill>
        </w:rPr>
        <w:t>还应确定和备案申请人考试结果的备案形式（例如零件图、绘图、草图以及书面的描述等）。所有此类备案应成为考试的一部分并应归档。</w:t>
      </w:r>
    </w:p>
    <w:p w14:paraId="17ED3319">
      <w:pPr>
        <w:pStyle w:val="51"/>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限定1级</w:t>
      </w:r>
    </w:p>
    <w:p w14:paraId="17ED331A">
      <w:pPr>
        <w:pStyle w:val="24"/>
        <w:rPr>
          <w:color w:val="0000FF"/>
        </w:rPr>
      </w:pPr>
      <w:r>
        <w:rPr>
          <w:rFonts w:hint="eastAsia" w:hAnsi="Arial"/>
          <w:color w:val="0000FF"/>
        </w:rPr>
        <w:t>限定1级的要求参见附录B。</w:t>
      </w:r>
    </w:p>
    <w:p w14:paraId="17ED331B">
      <w:pPr>
        <w:pStyle w:val="51"/>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1级</w:t>
      </w:r>
    </w:p>
    <w:p w14:paraId="4BF06A8B">
      <w:pPr>
        <w:pStyle w:val="24"/>
        <w:rPr>
          <w:rFonts w:hAnsi="Arial"/>
          <w:color w:val="000000" w:themeColor="text1"/>
          <w14:textFill>
            <w14:solidFill>
              <w14:schemeClr w14:val="tx1"/>
            </w14:solidFill>
          </w14:textFill>
        </w:rPr>
      </w:pPr>
      <w:r>
        <w:rPr>
          <w:rFonts w:hint="eastAsia"/>
          <w:color w:val="000000" w:themeColor="text1"/>
          <w14:textFill>
            <w14:solidFill>
              <w14:schemeClr w14:val="tx1"/>
            </w14:solidFill>
          </w14:textFill>
        </w:rPr>
        <w:t>申请人应按照</w:t>
      </w:r>
      <w:r>
        <w:rPr>
          <w:color w:val="000000" w:themeColor="text1"/>
          <w14:textFill>
            <w14:solidFill>
              <w14:schemeClr w14:val="tx1"/>
            </w14:solidFill>
          </w14:textFill>
        </w:rPr>
        <w:t>作业</w:t>
      </w:r>
      <w:r>
        <w:rPr>
          <w:rFonts w:hint="eastAsia"/>
          <w:color w:val="000000" w:themeColor="text1"/>
          <w14:textFill>
            <w14:solidFill>
              <w14:schemeClr w14:val="tx1"/>
            </w14:solidFill>
          </w14:textFill>
        </w:rPr>
        <w:t>指导书检测考试试样，</w:t>
      </w:r>
      <w:r>
        <w:rPr>
          <w:rFonts w:hint="eastAsia"/>
          <w:color w:val="0000FF"/>
        </w:rPr>
        <w:t>以证明其</w:t>
      </w:r>
      <w:r>
        <w:rPr>
          <w:rFonts w:hint="eastAsia"/>
          <w:color w:val="000000" w:themeColor="text1"/>
          <w14:textFill>
            <w14:solidFill>
              <w14:schemeClr w14:val="tx1"/>
            </w14:solidFill>
          </w14:textFill>
        </w:rPr>
        <w:t>熟练程度。每种方法至少考核两个不同结构的试样，且每种</w:t>
      </w:r>
      <w:r>
        <w:rPr>
          <w:rFonts w:hint="eastAsia"/>
          <w:color w:val="0000FF"/>
        </w:rPr>
        <w:t>申请认证的</w:t>
      </w:r>
      <w:r>
        <w:rPr>
          <w:rFonts w:hint="eastAsia"/>
          <w:color w:val="000000" w:themeColor="text1"/>
          <w14:textFill>
            <w14:solidFill>
              <w14:schemeClr w14:val="tx1"/>
            </w14:solidFill>
          </w14:textFill>
        </w:rPr>
        <w:t>检测技术至少考核一个试样。</w:t>
      </w:r>
      <w:r>
        <w:rPr>
          <w:rFonts w:hint="eastAsia" w:hAnsi="Arial"/>
          <w:color w:val="000000" w:themeColor="text1"/>
          <w14:textFill>
            <w14:solidFill>
              <w14:schemeClr w14:val="tx1"/>
            </w14:solidFill>
          </w14:textFill>
        </w:rPr>
        <w:t>当申请人的日常检测产品只有一种结构时，可用两个相同结构的试样进行考核。</w:t>
      </w:r>
    </w:p>
    <w:p w14:paraId="2D00B017">
      <w:pPr>
        <w:pStyle w:val="24"/>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考试试样</w:t>
      </w:r>
      <w:r>
        <w:rPr>
          <w:rFonts w:hint="eastAsia"/>
          <w:color w:val="0000FF"/>
        </w:rPr>
        <w:t>应符合章节3.39的定义并</w:t>
      </w:r>
      <w:r>
        <w:rPr>
          <w:rFonts w:hint="eastAsia"/>
          <w:color w:val="000000" w:themeColor="text1"/>
          <w14:textFill>
            <w14:solidFill>
              <w14:schemeClr w14:val="tx1"/>
            </w14:solidFill>
          </w14:textFill>
        </w:rPr>
        <w:t>能代表申请人为其雇主执行职责时针对的产品。</w:t>
      </w:r>
      <w:r>
        <w:rPr>
          <w:rFonts w:hint="eastAsia"/>
          <w:color w:val="000000" w:themeColor="text1"/>
          <w:szCs w:val="21"/>
          <w14:textFill>
            <w14:solidFill>
              <w14:schemeClr w14:val="tx1"/>
            </w14:solidFill>
          </w14:textFill>
        </w:rPr>
        <w:t>如果经责任3级人员批准为可以接收或拒收零件，申请人应解释</w:t>
      </w:r>
      <w:r>
        <w:rPr>
          <w:rFonts w:hint="eastAsia"/>
          <w:color w:val="0000FF"/>
          <w:szCs w:val="21"/>
        </w:rPr>
        <w:t>、评价</w:t>
      </w:r>
      <w:r>
        <w:rPr>
          <w:rFonts w:hint="eastAsia"/>
          <w:color w:val="000000" w:themeColor="text1"/>
          <w:szCs w:val="21"/>
          <w14:textFill>
            <w14:solidFill>
              <w14:schemeClr w14:val="tx1"/>
            </w14:solidFill>
          </w14:textFill>
        </w:rPr>
        <w:t>和记录试样的检测结果。</w:t>
      </w:r>
    </w:p>
    <w:p w14:paraId="17ED331C">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考试</w:t>
      </w:r>
      <w:r>
        <w:rPr>
          <w:rFonts w:hint="eastAsia"/>
          <w:color w:val="0000FF"/>
        </w:rPr>
        <w:t>检查单</w:t>
      </w:r>
      <w:r>
        <w:rPr>
          <w:rFonts w:hint="eastAsia"/>
          <w:color w:val="000000" w:themeColor="text1"/>
          <w14:textFill>
            <w14:solidFill>
              <w14:schemeClr w14:val="tx1"/>
            </w14:solidFill>
          </w14:textFill>
        </w:rPr>
        <w:t>应包括申请人对材料及设备使用</w:t>
      </w:r>
      <w:r>
        <w:rPr>
          <w:rFonts w:hint="eastAsia"/>
          <w:color w:val="0000FF"/>
        </w:rPr>
        <w:t>和调校</w:t>
      </w:r>
      <w:r>
        <w:rPr>
          <w:rFonts w:hint="eastAsia"/>
          <w:color w:val="000000" w:themeColor="text1"/>
          <w14:textFill>
            <w14:solidFill>
              <w14:schemeClr w14:val="tx1"/>
            </w14:solidFill>
          </w14:textFill>
        </w:rPr>
        <w:t>的熟练程度、</w:t>
      </w:r>
      <w:r>
        <w:rPr>
          <w:rFonts w:hint="eastAsia"/>
          <w:color w:val="0000FF"/>
        </w:rPr>
        <w:t>对工艺规程细节的遵循情况</w:t>
      </w:r>
      <w:r>
        <w:rPr>
          <w:rFonts w:hint="eastAsia"/>
          <w:color w:val="000000" w:themeColor="text1"/>
          <w14:textFill>
            <w14:solidFill>
              <w14:schemeClr w14:val="tx1"/>
            </w14:solidFill>
          </w14:textFill>
        </w:rPr>
        <w:t>，以</w:t>
      </w:r>
      <w:r>
        <w:rPr>
          <w:rFonts w:hint="eastAsia"/>
          <w:color w:val="000000" w:themeColor="text1"/>
          <w:szCs w:val="21"/>
          <w14:textFill>
            <w14:solidFill>
              <w14:schemeClr w14:val="tx1"/>
            </w14:solidFill>
          </w14:textFill>
        </w:rPr>
        <w:t>及必要时解释和评价显示的熟练程度</w:t>
      </w:r>
      <w:r>
        <w:rPr>
          <w:rFonts w:hint="eastAsia"/>
          <w:color w:val="000000" w:themeColor="text1"/>
          <w14:textFill>
            <w14:solidFill>
              <w14:schemeClr w14:val="tx1"/>
            </w14:solidFill>
          </w14:textFill>
        </w:rPr>
        <w:t>。</w:t>
      </w:r>
    </w:p>
    <w:p w14:paraId="17ED331D">
      <w:pPr>
        <w:pStyle w:val="51"/>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2级</w:t>
      </w:r>
    </w:p>
    <w:p w14:paraId="635BA002">
      <w:pPr>
        <w:pStyle w:val="24"/>
        <w:rPr>
          <w:rFonts w:hAnsi="Arial"/>
          <w:color w:val="000000" w:themeColor="text1"/>
          <w14:textFill>
            <w14:solidFill>
              <w14:schemeClr w14:val="tx1"/>
            </w14:solidFill>
          </w14:textFill>
        </w:rPr>
      </w:pPr>
      <w:r>
        <w:rPr>
          <w:rFonts w:hint="eastAsia"/>
          <w:color w:val="0000FF"/>
        </w:rPr>
        <w:t>申请人应检测考试试样以证明其熟练程度</w:t>
      </w:r>
      <w:r>
        <w:rPr>
          <w:rFonts w:hint="eastAsia"/>
          <w:color w:val="000000" w:themeColor="text1"/>
          <w14:textFill>
            <w14:solidFill>
              <w14:schemeClr w14:val="tx1"/>
            </w14:solidFill>
          </w14:textFill>
        </w:rPr>
        <w:t>，</w:t>
      </w:r>
      <w:r>
        <w:rPr>
          <w:rFonts w:hint="eastAsia"/>
          <w:color w:val="0000FF"/>
        </w:rPr>
        <w:t>每种方法至少考核两个不同结构的试样，且每种申请认证的检测技术至少考核一个试样。</w:t>
      </w:r>
      <w:r>
        <w:rPr>
          <w:rFonts w:hint="eastAsia" w:hAnsi="Arial"/>
          <w:color w:val="0000FF"/>
        </w:rPr>
        <w:t>当申请人的日常检测产品只有一种结构时，可用两个相同结构的试样进行考核。</w:t>
      </w:r>
    </w:p>
    <w:p w14:paraId="295726DE">
      <w:pPr>
        <w:pStyle w:val="24"/>
        <w:rPr>
          <w:rFonts w:hAnsi="Arial"/>
          <w:color w:val="000000" w:themeColor="text1"/>
          <w14:textFill>
            <w14:solidFill>
              <w14:schemeClr w14:val="tx1"/>
            </w14:solidFill>
          </w14:textFill>
        </w:rPr>
      </w:pPr>
      <w:r>
        <w:rPr>
          <w:rFonts w:hint="eastAsia"/>
          <w:color w:val="000000" w:themeColor="text1"/>
          <w14:textFill>
            <w14:solidFill>
              <w14:schemeClr w14:val="tx1"/>
            </w14:solidFill>
          </w14:textFill>
        </w:rPr>
        <w:t>考试试样</w:t>
      </w:r>
      <w:r>
        <w:rPr>
          <w:rFonts w:hint="eastAsia"/>
          <w:color w:val="0000FF"/>
        </w:rPr>
        <w:t>应符合章节3.39的定义并</w:t>
      </w:r>
      <w:r>
        <w:rPr>
          <w:rFonts w:hint="eastAsia"/>
          <w:color w:val="000000" w:themeColor="text1"/>
          <w14:textFill>
            <w14:solidFill>
              <w14:schemeClr w14:val="tx1"/>
            </w14:solidFill>
          </w14:textFill>
        </w:rPr>
        <w:t>能代表申请人为其雇主执行职责时针对的产品。</w:t>
      </w:r>
      <w:r>
        <w:rPr>
          <w:rFonts w:hint="eastAsia"/>
          <w:color w:val="000000" w:themeColor="text1"/>
          <w:szCs w:val="21"/>
          <w14:textFill>
            <w14:solidFill>
              <w14:schemeClr w14:val="tx1"/>
            </w14:solidFill>
          </w14:textFill>
        </w:rPr>
        <w:t>除了至少两个已知缺陷并备案的</w:t>
      </w:r>
      <w:r>
        <w:rPr>
          <w:rFonts w:hint="eastAsia"/>
          <w:color w:val="0000FF"/>
          <w:szCs w:val="21"/>
        </w:rPr>
        <w:t>试件外，还可以</w:t>
      </w:r>
      <w:r>
        <w:rPr>
          <w:rFonts w:hint="eastAsia"/>
          <w:color w:val="000000" w:themeColor="text1"/>
          <w:szCs w:val="21"/>
          <w14:textFill>
            <w14:solidFill>
              <w14:schemeClr w14:val="tx1"/>
            </w14:solidFill>
          </w14:textFill>
        </w:rPr>
        <w:t>增加不含缺陷的试件进行考试。</w:t>
      </w:r>
      <w:r>
        <w:rPr>
          <w:rFonts w:hint="eastAsia" w:hAnsi="Arial"/>
          <w:color w:val="000000" w:themeColor="text1"/>
          <w14:textFill>
            <w14:solidFill>
              <w14:schemeClr w14:val="tx1"/>
            </w14:solidFill>
          </w14:textFill>
        </w:rPr>
        <w:t>申请人应按适用的验收标准记录检测结果。</w:t>
      </w:r>
    </w:p>
    <w:p w14:paraId="17ED331E">
      <w:pPr>
        <w:pStyle w:val="24"/>
        <w:rPr>
          <w:color w:val="000000" w:themeColor="text1"/>
          <w14:textFill>
            <w14:solidFill>
              <w14:schemeClr w14:val="tx1"/>
            </w14:solidFill>
          </w14:textFill>
        </w:rPr>
      </w:pPr>
      <w:r>
        <w:rPr>
          <w:rFonts w:hint="eastAsia"/>
          <w:color w:val="0000FF"/>
        </w:rPr>
        <w:t>考试检查单应包括申请人对材料及设备使用和调校的熟练程度、对工艺规程细节的遵循情况，</w:t>
      </w:r>
      <w:r>
        <w:rPr>
          <w:rFonts w:hint="eastAsia"/>
          <w:color w:val="000000" w:themeColor="text1"/>
          <w14:textFill>
            <w14:solidFill>
              <w14:schemeClr w14:val="tx1"/>
            </w14:solidFill>
          </w14:textFill>
        </w:rPr>
        <w:t>对显示的解释和评价的完整性和准确性。</w:t>
      </w:r>
    </w:p>
    <w:p w14:paraId="17ED331F">
      <w:pPr>
        <w:pStyle w:val="51"/>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3级</w:t>
      </w:r>
    </w:p>
    <w:p w14:paraId="549334FF">
      <w:pPr>
        <w:pStyle w:val="24"/>
        <w:rPr>
          <w:color w:val="000000" w:themeColor="text1"/>
          <w14:textFill>
            <w14:solidFill>
              <w14:schemeClr w14:val="tx1"/>
            </w14:solidFill>
          </w14:textFill>
        </w:rPr>
      </w:pPr>
      <w:r>
        <w:rPr>
          <w:rFonts w:hint="eastAsia"/>
          <w:color w:val="0000FF"/>
        </w:rPr>
        <w:t>申请人应通过编写符合该</w:t>
      </w:r>
      <w:r>
        <w:rPr>
          <w:rFonts w:hint="eastAsia" w:hAnsi="Arial"/>
          <w:color w:val="0000FF"/>
        </w:rPr>
        <w:t>认证</w:t>
      </w:r>
      <w:r>
        <w:rPr>
          <w:rFonts w:hint="eastAsia"/>
          <w:color w:val="0000FF"/>
        </w:rPr>
        <w:t>方法雇主要求的NDT工艺规程或作业指导书</w:t>
      </w:r>
      <w:r>
        <w:rPr>
          <w:rFonts w:hint="eastAsia"/>
          <w:color w:val="000000" w:themeColor="text1"/>
          <w14:textFill>
            <w14:solidFill>
              <w14:schemeClr w14:val="tx1"/>
            </w14:solidFill>
          </w14:textFill>
        </w:rPr>
        <w:t>，证明其熟练性。必要时，编写</w:t>
      </w:r>
      <w:r>
        <w:rPr>
          <w:rFonts w:hint="eastAsia"/>
          <w:color w:val="0000FF"/>
        </w:rPr>
        <w:t>工艺规程</w:t>
      </w:r>
      <w:r>
        <w:rPr>
          <w:rFonts w:hint="eastAsia"/>
          <w:color w:val="000000" w:themeColor="text1"/>
          <w14:textFill>
            <w14:solidFill>
              <w14:schemeClr w14:val="tx1"/>
            </w14:solidFill>
          </w14:textFill>
        </w:rPr>
        <w:t>或</w:t>
      </w:r>
      <w:r>
        <w:rPr>
          <w:color w:val="000000" w:themeColor="text1"/>
          <w14:textFill>
            <w14:solidFill>
              <w14:schemeClr w14:val="tx1"/>
            </w14:solidFill>
          </w14:textFill>
        </w:rPr>
        <w:t>作业</w:t>
      </w:r>
      <w:r>
        <w:rPr>
          <w:rFonts w:hint="eastAsia"/>
          <w:color w:val="000000" w:themeColor="text1"/>
          <w14:textFill>
            <w14:solidFill>
              <w14:schemeClr w14:val="tx1"/>
            </w14:solidFill>
          </w14:textFill>
        </w:rPr>
        <w:t>指导书应与</w:t>
      </w:r>
      <w:r>
        <w:rPr>
          <w:rFonts w:hint="eastAsia" w:hAnsi="Arial"/>
          <w:color w:val="000000" w:themeColor="text1"/>
          <w14:textFill>
            <w14:solidFill>
              <w14:schemeClr w14:val="tx1"/>
            </w14:solidFill>
          </w14:textFill>
        </w:rPr>
        <w:t>认证</w:t>
      </w:r>
      <w:r>
        <w:rPr>
          <w:rFonts w:hint="eastAsia"/>
          <w:color w:val="000000" w:themeColor="text1"/>
          <w14:textFill>
            <w14:solidFill>
              <w14:schemeClr w14:val="tx1"/>
            </w14:solidFill>
          </w14:textFill>
        </w:rPr>
        <w:t>或重新</w:t>
      </w:r>
      <w:r>
        <w:rPr>
          <w:rFonts w:hint="eastAsia" w:hAnsi="Arial"/>
          <w:color w:val="000000" w:themeColor="text1"/>
          <w14:textFill>
            <w14:solidFill>
              <w14:schemeClr w14:val="tx1"/>
            </w14:solidFill>
          </w14:textFill>
        </w:rPr>
        <w:t>认证</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通用</w:t>
      </w:r>
      <w:r>
        <w:rPr>
          <w:rFonts w:hint="eastAsia"/>
          <w:color w:val="000000" w:themeColor="text1"/>
          <w14:textFill>
            <w14:solidFill>
              <w14:schemeClr w14:val="tx1"/>
            </w14:solidFill>
          </w14:textFill>
        </w:rPr>
        <w:t>考试或专业考试相匹配。</w:t>
      </w:r>
    </w:p>
    <w:p w14:paraId="6D4824B0">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实际操作考试结果应记录备案。应使用</w:t>
      </w:r>
      <w:r>
        <w:rPr>
          <w:rFonts w:hint="eastAsia"/>
          <w:color w:val="0000FF"/>
        </w:rPr>
        <w:t>检查单</w:t>
      </w:r>
      <w:r>
        <w:rPr>
          <w:rFonts w:hint="eastAsia"/>
          <w:color w:val="000000" w:themeColor="text1"/>
          <w14:textFill>
            <w14:solidFill>
              <w14:schemeClr w14:val="tx1"/>
            </w14:solidFill>
          </w14:textFill>
        </w:rPr>
        <w:t>判定其编制的</w:t>
      </w:r>
      <w:r>
        <w:rPr>
          <w:rFonts w:hint="eastAsia"/>
          <w:color w:val="0000FF"/>
        </w:rPr>
        <w:t>工艺规程</w:t>
      </w:r>
      <w:r>
        <w:rPr>
          <w:rFonts w:hint="eastAsia"/>
          <w:color w:val="000000" w:themeColor="text1"/>
          <w14:textFill>
            <w14:solidFill>
              <w14:schemeClr w14:val="tx1"/>
            </w14:solidFill>
          </w14:textFill>
        </w:rPr>
        <w:t>或</w:t>
      </w:r>
      <w:r>
        <w:rPr>
          <w:color w:val="000000" w:themeColor="text1"/>
          <w14:textFill>
            <w14:solidFill>
              <w14:schemeClr w14:val="tx1"/>
            </w14:solidFill>
          </w14:textFill>
        </w:rPr>
        <w:t>作业</w:t>
      </w:r>
      <w:r>
        <w:rPr>
          <w:rFonts w:hint="eastAsia"/>
          <w:color w:val="000000" w:themeColor="text1"/>
          <w14:textFill>
            <w14:solidFill>
              <w14:schemeClr w14:val="tx1"/>
            </w14:solidFill>
          </w14:textFill>
        </w:rPr>
        <w:t>指导书的技术准确性、内容的完整性和清晰性。</w:t>
      </w:r>
    </w:p>
    <w:p w14:paraId="7E39AEED">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当申请人的职责</w:t>
      </w:r>
      <w:r>
        <w:rPr>
          <w:rFonts w:hint="eastAsia"/>
          <w:color w:val="0000FF"/>
        </w:rPr>
        <w:t>包括处理</w:t>
      </w:r>
      <w:r>
        <w:rPr>
          <w:rFonts w:hint="eastAsia"/>
          <w:color w:val="000000" w:themeColor="text1"/>
          <w14:textFill>
            <w14:solidFill>
              <w14:schemeClr w14:val="tx1"/>
            </w14:solidFill>
          </w14:textFill>
        </w:rPr>
        <w:t>、接收或拒收产品时，则应通过与7.1.6.3中规定的2级相同的实际操作考试，来证明其具备此方面的能力。</w:t>
      </w:r>
    </w:p>
    <w:p w14:paraId="17ED3321">
      <w:pPr>
        <w:pStyle w:val="42"/>
        <w:spacing w:before="156" w:after="156"/>
        <w:rPr>
          <w:color w:val="000000" w:themeColor="text1"/>
          <w14:textFill>
            <w14:solidFill>
              <w14:schemeClr w14:val="tx1"/>
            </w14:solidFill>
          </w14:textFill>
        </w:rPr>
      </w:pPr>
      <w:bookmarkStart w:id="1191" w:name="_Toc61427752"/>
      <w:bookmarkStart w:id="1192" w:name="_Toc65300350"/>
      <w:bookmarkStart w:id="1193" w:name="_Toc50634235"/>
      <w:bookmarkStart w:id="1194" w:name="_Toc61236781"/>
      <w:bookmarkStart w:id="1195" w:name="_Toc303780208"/>
      <w:bookmarkStart w:id="1196" w:name="_Toc303069601"/>
      <w:bookmarkStart w:id="1197" w:name="_Toc314487191"/>
      <w:bookmarkStart w:id="1198" w:name="_Toc309649110"/>
      <w:bookmarkStart w:id="1199" w:name="_Toc314478386"/>
      <w:bookmarkStart w:id="1200" w:name="_Toc62027876"/>
      <w:bookmarkStart w:id="1201" w:name="_Toc303149831"/>
      <w:bookmarkStart w:id="1202" w:name="_Toc316393941"/>
      <w:bookmarkStart w:id="1203" w:name="_Toc303149797"/>
      <w:bookmarkStart w:id="1204" w:name="_Toc240124633"/>
      <w:r>
        <w:rPr>
          <w:rFonts w:hint="eastAsia"/>
          <w:color w:val="000000" w:themeColor="text1"/>
          <w14:textFill>
            <w14:solidFill>
              <w14:schemeClr w14:val="tx1"/>
            </w14:solidFill>
          </w14:textFill>
        </w:rPr>
        <w:t>考试管理</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14:paraId="17ED3322">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概述</w:t>
      </w:r>
    </w:p>
    <w:p w14:paraId="079650A5">
      <w:pPr>
        <w:pStyle w:val="24"/>
        <w:rPr>
          <w:color w:val="000000" w:themeColor="text1"/>
          <w14:textFill>
            <w14:solidFill>
              <w14:schemeClr w14:val="tx1"/>
            </w14:solidFill>
          </w14:textFill>
        </w:rPr>
      </w:pPr>
      <w:r>
        <w:rPr>
          <w:rFonts w:hint="eastAsia" w:hAnsi="Arial"/>
          <w:color w:val="0000FF"/>
        </w:rPr>
        <w:t>获得相应方法认证的</w:t>
      </w:r>
      <w:r>
        <w:rPr>
          <w:rFonts w:hint="eastAsia" w:hAnsi="Arial"/>
          <w:color w:val="000000" w:themeColor="text1"/>
          <w14:textFill>
            <w14:solidFill>
              <w14:schemeClr w14:val="tx1"/>
            </w14:solidFill>
          </w14:textFill>
        </w:rPr>
        <w:t>责任3级人员或主考人应</w:t>
      </w:r>
      <w:r>
        <w:rPr>
          <w:rFonts w:hint="eastAsia"/>
          <w:color w:val="000000" w:themeColor="text1"/>
          <w14:textFill>
            <w14:solidFill>
              <w14:schemeClr w14:val="tx1"/>
            </w14:solidFill>
          </w14:textFill>
        </w:rPr>
        <w:t>负责考试的管理和评分。责任３级人员或主考人可以书面委派</w:t>
      </w:r>
      <w:r>
        <w:rPr>
          <w:rFonts w:hint="eastAsia" w:hAnsi="Arial"/>
          <w:color w:val="000000" w:themeColor="text1"/>
          <w14:textFill>
            <w14:solidFill>
              <w14:schemeClr w14:val="tx1"/>
            </w14:solidFill>
          </w14:textFill>
        </w:rPr>
        <w:t>非主考</w:t>
      </w:r>
      <w:r>
        <w:rPr>
          <w:rFonts w:hint="eastAsia"/>
          <w:color w:val="000000" w:themeColor="text1"/>
          <w14:textFill>
            <w14:solidFill>
              <w14:schemeClr w14:val="tx1"/>
            </w14:solidFill>
          </w14:textFill>
        </w:rPr>
        <w:t>人员</w:t>
      </w:r>
      <w:r>
        <w:rPr>
          <w:rFonts w:hint="eastAsia"/>
          <w:color w:val="0000FF"/>
        </w:rPr>
        <w:t>对使用选择题的考试</w:t>
      </w:r>
      <w:r>
        <w:rPr>
          <w:rFonts w:hint="eastAsia"/>
          <w:color w:val="000000" w:themeColor="text1"/>
          <w14:textFill>
            <w14:solidFill>
              <w14:schemeClr w14:val="tx1"/>
            </w14:solidFill>
          </w14:textFill>
        </w:rPr>
        <w:t>进行管理和评分。</w:t>
      </w:r>
    </w:p>
    <w:p w14:paraId="17ED3323">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问答</w:t>
      </w:r>
      <w:r>
        <w:rPr>
          <w:color w:val="000000" w:themeColor="text1"/>
          <w14:textFill>
            <w14:solidFill>
              <w14:schemeClr w14:val="tx1"/>
            </w14:solidFill>
          </w14:textFill>
        </w:rPr>
        <w:t>题和填空题应由责任3级人员或</w:t>
      </w:r>
      <w:r>
        <w:rPr>
          <w:rFonts w:hint="eastAsia"/>
          <w:color w:val="000000" w:themeColor="text1"/>
          <w14:textFill>
            <w14:solidFill>
              <w14:schemeClr w14:val="tx1"/>
            </w14:solidFill>
          </w14:textFill>
        </w:rPr>
        <w:t>主考人</w:t>
      </w:r>
      <w:r>
        <w:rPr>
          <w:color w:val="000000" w:themeColor="text1"/>
          <w14:textFill>
            <w14:solidFill>
              <w14:schemeClr w14:val="tx1"/>
            </w14:solidFill>
          </w14:textFill>
        </w:rPr>
        <w:t>进行评定，以验证</w:t>
      </w:r>
      <w:r>
        <w:rPr>
          <w:rFonts w:hint="eastAsia"/>
          <w:color w:val="000000" w:themeColor="text1"/>
          <w14:textFill>
            <w14:solidFill>
              <w14:schemeClr w14:val="tx1"/>
            </w14:solidFill>
          </w14:textFill>
        </w:rPr>
        <w:t>申请人</w:t>
      </w:r>
      <w:r>
        <w:rPr>
          <w:color w:val="000000" w:themeColor="text1"/>
          <w14:textFill>
            <w14:solidFill>
              <w14:schemeClr w14:val="tx1"/>
            </w14:solidFill>
          </w14:textFill>
        </w:rPr>
        <w:t>对相关知识的</w:t>
      </w:r>
      <w:r>
        <w:rPr>
          <w:rFonts w:hint="eastAsia"/>
          <w:color w:val="000000" w:themeColor="text1"/>
          <w14:textFill>
            <w14:solidFill>
              <w14:schemeClr w14:val="tx1"/>
            </w14:solidFill>
          </w14:textFill>
        </w:rPr>
        <w:t>理解程度</w:t>
      </w:r>
      <w:r>
        <w:rPr>
          <w:color w:val="000000" w:themeColor="text1"/>
          <w14:textFill>
            <w14:solidFill>
              <w14:schemeClr w14:val="tx1"/>
            </w14:solidFill>
          </w14:textFill>
        </w:rPr>
        <w:t>。在任何情况下，考试均不得由本人或其下属进行管理。</w:t>
      </w:r>
    </w:p>
    <w:p w14:paraId="17ED3324">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由外界代理实施考试的管理</w:t>
      </w:r>
    </w:p>
    <w:p w14:paraId="17ED3325">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当委托外界代理进行考试管理时，雇主应保证</w:t>
      </w:r>
      <w:r>
        <w:rPr>
          <w:rFonts w:hint="eastAsia" w:hAnsi="Arial"/>
          <w:color w:val="000000" w:themeColor="text1"/>
          <w14:textFill>
            <w14:solidFill>
              <w14:schemeClr w14:val="tx1"/>
            </w14:solidFill>
          </w14:textFill>
        </w:rPr>
        <w:t>所有参与考试管理的</w:t>
      </w:r>
      <w:r>
        <w:rPr>
          <w:rFonts w:hint="eastAsia"/>
          <w:color w:val="000000" w:themeColor="text1"/>
          <w14:textFill>
            <w14:solidFill>
              <w14:schemeClr w14:val="tx1"/>
            </w14:solidFill>
          </w14:textFill>
        </w:rPr>
        <w:t>人员满足本标准要求。</w:t>
      </w:r>
      <w:r>
        <w:rPr>
          <w:rFonts w:hint="eastAsia"/>
          <w:color w:val="0000FF"/>
        </w:rPr>
        <w:t>在任何情况下，雇主承担满足本标准要求的最终责任</w:t>
      </w:r>
      <w:r>
        <w:rPr>
          <w:rFonts w:hint="eastAsia"/>
          <w:color w:val="000000" w:themeColor="text1"/>
          <w14:textFill>
            <w14:solidFill>
              <w14:schemeClr w14:val="tx1"/>
            </w14:solidFill>
          </w14:textFill>
        </w:rPr>
        <w:t>。</w:t>
      </w:r>
    </w:p>
    <w:p w14:paraId="17ED3326">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评分</w:t>
      </w:r>
    </w:p>
    <w:p w14:paraId="7A77B10B">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申请人的</w:t>
      </w:r>
      <w:r>
        <w:rPr>
          <w:rFonts w:hint="eastAsia" w:hAnsi="Arial"/>
          <w:color w:val="000000" w:themeColor="text1"/>
          <w14:textFill>
            <w14:solidFill>
              <w14:schemeClr w14:val="tx1"/>
            </w14:solidFill>
          </w14:textFill>
        </w:rPr>
        <w:t>每门</w:t>
      </w:r>
      <w:r>
        <w:rPr>
          <w:rFonts w:hint="eastAsia"/>
          <w:color w:val="000000" w:themeColor="text1"/>
          <w14:textFill>
            <w14:solidFill>
              <w14:schemeClr w14:val="tx1"/>
            </w14:solidFill>
          </w14:textFill>
        </w:rPr>
        <w:t>考试应至少取得70%的分数。在实际操作考试中，</w:t>
      </w:r>
      <w:r>
        <w:rPr>
          <w:rFonts w:hint="eastAsia" w:ascii="Arial" w:cs="Arial"/>
          <w:color w:val="000000" w:themeColor="text1"/>
          <w14:textFill>
            <w14:solidFill>
              <w14:schemeClr w14:val="tx1"/>
            </w14:solidFill>
          </w14:textFill>
        </w:rPr>
        <w:t>申请人应检测出由3级人员确定的所有不连续、缺陷或状态</w:t>
      </w:r>
      <w:r>
        <w:rPr>
          <w:rFonts w:hint="eastAsia"/>
          <w:color w:val="000000" w:themeColor="text1"/>
          <w14:textFill>
            <w14:solidFill>
              <w14:schemeClr w14:val="tx1"/>
            </w14:solidFill>
          </w14:textFill>
        </w:rPr>
        <w:t>，并且至少取得70%的分数。</w:t>
      </w:r>
    </w:p>
    <w:p w14:paraId="17372E86">
      <w:pPr>
        <w:pStyle w:val="24"/>
        <w:rPr>
          <w:rFonts w:hAnsi="Arial"/>
          <w:color w:val="000000" w:themeColor="text1"/>
          <w14:textFill>
            <w14:solidFill>
              <w14:schemeClr w14:val="tx1"/>
            </w14:solidFill>
          </w14:textFill>
        </w:rPr>
      </w:pPr>
      <w:r>
        <w:rPr>
          <w:rFonts w:hint="eastAsia"/>
          <w:color w:val="000000" w:themeColor="text1"/>
          <w14:textFill>
            <w14:solidFill>
              <w14:schemeClr w14:val="tx1"/>
            </w14:solidFill>
          </w14:textFill>
        </w:rPr>
        <w:t>申请人平均考试成绩应至少达到80%的分数才能取得资格</w:t>
      </w:r>
      <w:r>
        <w:rPr>
          <w:rFonts w:hAnsi="Arial"/>
          <w:color w:val="000000" w:themeColor="text1"/>
          <w14:textFill>
            <w14:solidFill>
              <w14:schemeClr w14:val="tx1"/>
            </w14:solidFill>
          </w14:textFill>
        </w:rPr>
        <w:t>证书</w:t>
      </w:r>
      <w:r>
        <w:rPr>
          <w:rFonts w:hint="eastAsia"/>
          <w:color w:val="000000" w:themeColor="text1"/>
          <w14:textFill>
            <w14:solidFill>
              <w14:schemeClr w14:val="tx1"/>
            </w14:solidFill>
          </w14:textFill>
        </w:rPr>
        <w:t>。在</w:t>
      </w:r>
      <w:r>
        <w:rPr>
          <w:rFonts w:hint="eastAsia"/>
          <w:color w:val="0000FF"/>
        </w:rPr>
        <w:t>计算</w:t>
      </w:r>
      <w:r>
        <w:rPr>
          <w:rFonts w:hint="eastAsia"/>
          <w:color w:val="000000" w:themeColor="text1"/>
          <w14:textFill>
            <w14:solidFill>
              <w14:schemeClr w14:val="tx1"/>
            </w14:solidFill>
          </w14:textFill>
        </w:rPr>
        <w:t>平均分时，所有考试成绩应占同等比重。</w:t>
      </w:r>
      <w:r>
        <w:rPr>
          <w:rFonts w:hint="eastAsia"/>
          <w:color w:val="0000FF"/>
        </w:rPr>
        <w:t>例如，如果重新认证仅进行专业和实际操作考试，那么就使用这两项考试的成绩计算平均分。</w:t>
      </w:r>
      <w:r>
        <w:rPr>
          <w:rFonts w:hint="eastAsia" w:hAnsi="Arial"/>
          <w:color w:val="000000" w:themeColor="text1"/>
          <w14:textFill>
            <w14:solidFill>
              <w14:schemeClr w14:val="tx1"/>
            </w14:solidFill>
          </w14:textFill>
        </w:rPr>
        <w:t>如果重新认证也进行通用考试，则通用考试成绩也应计入平均分中。</w:t>
      </w:r>
    </w:p>
    <w:p w14:paraId="17ED3327">
      <w:pPr>
        <w:pStyle w:val="24"/>
        <w:rPr>
          <w:color w:val="000000" w:themeColor="text1"/>
          <w14:textFill>
            <w14:solidFill>
              <w14:schemeClr w14:val="tx1"/>
            </w14:solidFill>
          </w14:textFill>
        </w:rPr>
      </w:pPr>
      <w:r>
        <w:rPr>
          <w:rFonts w:hint="eastAsia" w:hAnsi="Arial"/>
          <w:color w:val="000000" w:themeColor="text1"/>
          <w14:textFill>
            <w14:solidFill>
              <w14:schemeClr w14:val="tx1"/>
            </w14:solidFill>
          </w14:textFill>
        </w:rPr>
        <w:t>对于按照</w:t>
      </w:r>
      <w:r>
        <w:rPr>
          <w:rFonts w:hint="eastAsia"/>
          <w:color w:val="000000" w:themeColor="text1"/>
          <w14:textFill>
            <w14:solidFill>
              <w14:schemeClr w14:val="tx1"/>
            </w14:solidFill>
          </w14:textFill>
        </w:rPr>
        <w:t>GB/T 36</w:t>
      </w:r>
      <w:r>
        <w:rPr>
          <w:color w:val="000000" w:themeColor="text1"/>
          <w14:textFill>
            <w14:solidFill>
              <w14:schemeClr w14:val="tx1"/>
            </w14:solidFill>
          </w14:textFill>
        </w:rPr>
        <w:t>439</w:t>
      </w:r>
      <w:r>
        <w:rPr>
          <w:rFonts w:hint="eastAsia"/>
          <w:color w:val="000000" w:themeColor="text1"/>
          <w14:textFill>
            <w14:solidFill>
              <w14:schemeClr w14:val="tx1"/>
            </w14:solidFill>
          </w14:textFill>
        </w:rPr>
        <w:t>、GJB 9712、ASNT、NAS410、EN4179或ISO9712</w:t>
      </w:r>
      <w:r>
        <w:rPr>
          <w:rFonts w:hint="eastAsia" w:hAnsi="Arial"/>
          <w:color w:val="000000" w:themeColor="text1"/>
          <w14:textFill>
            <w14:solidFill>
              <w14:schemeClr w14:val="tx1"/>
            </w14:solidFill>
          </w14:textFill>
        </w:rPr>
        <w:t>认证的以“通过”或“未通过”评定的考试成绩，如果被用于替代7.1.4的通用考试成绩时，应计为80%分数。对于按照附录A进行重新认证的3级人员，</w:t>
      </w:r>
      <w:r>
        <w:rPr>
          <w:rFonts w:hint="eastAsia" w:hAnsi="Arial"/>
          <w:color w:val="0000FF"/>
        </w:rPr>
        <w:t>应在认证记录中予以说明，无需赋予分数值。如果在使用附录A的同时进行了试件检测实际操作考试，则该实际操作考试成绩的最低通过分数为</w:t>
      </w:r>
      <w:r>
        <w:rPr>
          <w:rFonts w:hAnsi="Arial"/>
          <w:color w:val="0000FF"/>
        </w:rPr>
        <w:t>80%</w:t>
      </w:r>
      <w:r>
        <w:rPr>
          <w:rFonts w:hint="eastAsia" w:hAnsi="Arial"/>
          <w:color w:val="000000" w:themeColor="text1"/>
          <w14:textFill>
            <w14:solidFill>
              <w14:schemeClr w14:val="tx1"/>
            </w14:solidFill>
          </w14:textFill>
        </w:rPr>
        <w:t>。</w:t>
      </w:r>
    </w:p>
    <w:p w14:paraId="17ED3328">
      <w:pPr>
        <w:pStyle w:val="46"/>
        <w:spacing w:before="156" w:after="156"/>
        <w:ind w:left="0"/>
        <w:rPr>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重新考试</w:t>
      </w:r>
    </w:p>
    <w:p w14:paraId="7E1A11D9">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没有通过基础（仅3级）、通用、专业和实际操作任何一项考试的申请人，在该项目重新考试前，应接受</w:t>
      </w:r>
      <w:r>
        <w:rPr>
          <w:rFonts w:hint="eastAsia"/>
          <w:color w:val="000000" w:themeColor="text1"/>
          <w:szCs w:val="21"/>
          <w14:textFill>
            <w14:solidFill>
              <w14:schemeClr w14:val="tx1"/>
            </w14:solidFill>
          </w14:textFill>
        </w:rPr>
        <w:t>由责任3级人员或主考人确定并备案的</w:t>
      </w:r>
      <w:r>
        <w:rPr>
          <w:rFonts w:hint="eastAsia"/>
          <w:color w:val="000000" w:themeColor="text1"/>
          <w14:textFill>
            <w14:solidFill>
              <w14:schemeClr w14:val="tx1"/>
            </w14:solidFill>
          </w14:textFill>
        </w:rPr>
        <w:t>附加的培训。</w:t>
      </w:r>
      <w:r>
        <w:rPr>
          <w:rFonts w:hint="eastAsia"/>
          <w:color w:val="0000FF"/>
        </w:rPr>
        <w:t>附加培训应备案，并且侧重申请人技能和知识薄弱的方面</w:t>
      </w:r>
      <w:r>
        <w:rPr>
          <w:rFonts w:hint="eastAsia"/>
          <w:color w:val="000000" w:themeColor="text1"/>
          <w14:textFill>
            <w14:solidFill>
              <w14:schemeClr w14:val="tx1"/>
            </w14:solidFill>
          </w14:textFill>
        </w:rPr>
        <w:t>。</w:t>
      </w:r>
    </w:p>
    <w:p w14:paraId="17ED3329">
      <w:pPr>
        <w:pStyle w:val="24"/>
        <w:rPr>
          <w:color w:val="000000" w:themeColor="text1"/>
          <w:szCs w:val="21"/>
          <w14:textFill>
            <w14:solidFill>
              <w14:schemeClr w14:val="tx1"/>
            </w14:solidFill>
          </w14:textFill>
        </w:rPr>
      </w:pPr>
      <w:r>
        <w:rPr>
          <w:rFonts w:hint="eastAsia"/>
          <w:color w:val="0000FF"/>
        </w:rPr>
        <w:t>重新考试不应使用与未通过的考试相同的试样或试卷。</w:t>
      </w:r>
      <w:r>
        <w:rPr>
          <w:rFonts w:hint="eastAsia"/>
          <w:color w:val="000000" w:themeColor="text1"/>
          <w14:textFill>
            <w14:solidFill>
              <w14:schemeClr w14:val="tx1"/>
            </w14:solidFill>
          </w14:textFill>
        </w:rPr>
        <w:t>重新考试的试卷应至少含有25%的新题。</w:t>
      </w:r>
      <w:r>
        <w:rPr>
          <w:rFonts w:hint="eastAsia"/>
          <w:color w:val="000000" w:themeColor="text1"/>
          <w:szCs w:val="21"/>
          <w14:textFill>
            <w14:solidFill>
              <w14:schemeClr w14:val="tx1"/>
            </w14:solidFill>
          </w14:textFill>
        </w:rPr>
        <w:t>若申请人没有通过重新</w:t>
      </w:r>
      <w:r>
        <w:rPr>
          <w:rFonts w:hint="eastAsia" w:hAnsi="Arial"/>
          <w:color w:val="000000" w:themeColor="text1"/>
          <w14:textFill>
            <w14:solidFill>
              <w14:schemeClr w14:val="tx1"/>
            </w14:solidFill>
          </w14:textFill>
        </w:rPr>
        <w:t>认证</w:t>
      </w:r>
      <w:r>
        <w:rPr>
          <w:rFonts w:hint="eastAsia"/>
          <w:color w:val="000000" w:themeColor="text1"/>
          <w:szCs w:val="21"/>
          <w14:textFill>
            <w14:solidFill>
              <w14:schemeClr w14:val="tx1"/>
            </w14:solidFill>
          </w14:textFill>
        </w:rPr>
        <w:t>考试，其证书应立即被中止。</w:t>
      </w:r>
    </w:p>
    <w:p w14:paraId="17ED332B">
      <w:pPr>
        <w:pStyle w:val="24"/>
        <w:rPr>
          <w:color w:val="000000" w:themeColor="text1"/>
          <w14:textFill>
            <w14:solidFill>
              <w14:schemeClr w14:val="tx1"/>
            </w14:solidFill>
          </w14:textFill>
        </w:rPr>
      </w:pPr>
      <w:r>
        <w:rPr>
          <w:rFonts w:hint="eastAsia"/>
          <w:color w:val="0000FF"/>
        </w:rPr>
        <w:t>重新考试时，相邻两次考试间的时间间隔不超过6个月。重新考试最多进行两次</w:t>
      </w:r>
      <w:r>
        <w:rPr>
          <w:rFonts w:hint="eastAsia"/>
          <w:color w:val="000000" w:themeColor="text1"/>
          <w14:textFill>
            <w14:solidFill>
              <w14:schemeClr w14:val="tx1"/>
            </w14:solidFill>
          </w14:textFill>
        </w:rPr>
        <w:t>。</w:t>
      </w:r>
    </w:p>
    <w:p w14:paraId="17ED332C">
      <w:pPr>
        <w:pStyle w:val="45"/>
        <w:spacing w:before="312" w:after="312"/>
        <w:rPr>
          <w:color w:val="000000" w:themeColor="text1"/>
          <w14:textFill>
            <w14:solidFill>
              <w14:schemeClr w14:val="tx1"/>
            </w14:solidFill>
          </w14:textFill>
        </w:rPr>
      </w:pPr>
      <w:bookmarkStart w:id="1205" w:name="_Toc240124634"/>
      <w:r>
        <w:rPr>
          <w:rFonts w:hint="eastAsia"/>
          <w:color w:val="000000" w:themeColor="text1"/>
          <w14:textFill>
            <w14:solidFill>
              <w14:schemeClr w14:val="tx1"/>
            </w14:solidFill>
          </w14:textFill>
        </w:rPr>
        <w:t>资格认证</w:t>
      </w:r>
      <w:bookmarkEnd w:id="1205"/>
    </w:p>
    <w:p w14:paraId="17ED332D">
      <w:pPr>
        <w:pStyle w:val="42"/>
        <w:spacing w:before="156" w:after="156"/>
        <w:rPr>
          <w:color w:val="000000" w:themeColor="text1"/>
          <w14:textFill>
            <w14:solidFill>
              <w14:schemeClr w14:val="tx1"/>
            </w14:solidFill>
          </w14:textFill>
        </w:rPr>
      </w:pPr>
      <w:bookmarkStart w:id="1206" w:name="_Toc240124635"/>
      <w:r>
        <w:rPr>
          <w:rFonts w:hint="eastAsia"/>
          <w:color w:val="000000" w:themeColor="text1"/>
          <w14:textFill>
            <w14:solidFill>
              <w14:schemeClr w14:val="tx1"/>
            </w14:solidFill>
          </w14:textFill>
        </w:rPr>
        <w:t>概述</w:t>
      </w:r>
      <w:bookmarkEnd w:id="1206"/>
    </w:p>
    <w:p w14:paraId="17ED332E">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已通过相应资格鉴定的人员，</w:t>
      </w:r>
      <w:r>
        <w:rPr>
          <w:rFonts w:hint="eastAsia" w:ascii="Arial" w:cs="Arial"/>
          <w:color w:val="000000" w:themeColor="text1"/>
          <w14:textFill>
            <w14:solidFill>
              <w14:schemeClr w14:val="tx1"/>
            </w14:solidFill>
          </w14:textFill>
        </w:rPr>
        <w:t>由雇主依据其书面实施规程进行认证</w:t>
      </w:r>
      <w:r>
        <w:rPr>
          <w:rFonts w:hint="eastAsia"/>
          <w:color w:val="000000" w:themeColor="text1"/>
          <w14:textFill>
            <w14:solidFill>
              <w14:schemeClr w14:val="tx1"/>
            </w14:solidFill>
          </w14:textFill>
        </w:rPr>
        <w:t>。对于学员、教员、NDT审核员以及</w:t>
      </w:r>
      <w:r>
        <w:rPr>
          <w:rFonts w:hint="eastAsia" w:hAnsi="Arial"/>
          <w:color w:val="000000" w:themeColor="text1"/>
          <w14:textFill>
            <w14:solidFill>
              <w14:schemeClr w14:val="tx1"/>
            </w14:solidFill>
          </w14:textFill>
        </w:rPr>
        <w:t>使用</w:t>
      </w:r>
      <w:r>
        <w:rPr>
          <w:rFonts w:hint="eastAsia" w:hAnsi="Arial"/>
          <w:color w:val="0000FF"/>
        </w:rPr>
        <w:t>直读式仪器</w:t>
      </w:r>
      <w:r>
        <w:rPr>
          <w:rFonts w:hint="eastAsia" w:hAnsi="Arial"/>
          <w:color w:val="000000" w:themeColor="text1"/>
          <w14:textFill>
            <w14:solidFill>
              <w14:schemeClr w14:val="tx1"/>
            </w14:solidFill>
          </w14:textFill>
        </w:rPr>
        <w:t>实施特定检测的人员</w:t>
      </w:r>
      <w:r>
        <w:rPr>
          <w:rFonts w:hint="eastAsia"/>
          <w:color w:val="000000" w:themeColor="text1"/>
          <w14:textFill>
            <w14:solidFill>
              <w14:schemeClr w14:val="tx1"/>
            </w14:solidFill>
          </w14:textFill>
        </w:rPr>
        <w:t>，</w:t>
      </w:r>
      <w:r>
        <w:rPr>
          <w:rFonts w:hint="eastAsia" w:hAnsi="Arial"/>
          <w:color w:val="000000" w:themeColor="text1"/>
          <w14:textFill>
            <w14:solidFill>
              <w14:schemeClr w14:val="tx1"/>
            </w14:solidFill>
          </w14:textFill>
        </w:rPr>
        <w:t>不要求</w:t>
      </w:r>
      <w:r>
        <w:rPr>
          <w:rFonts w:hint="eastAsia"/>
          <w:color w:val="000000" w:themeColor="text1"/>
          <w14:textFill>
            <w14:solidFill>
              <w14:schemeClr w14:val="tx1"/>
            </w14:solidFill>
          </w14:textFill>
        </w:rPr>
        <w:t>进行资格</w:t>
      </w:r>
      <w:r>
        <w:rPr>
          <w:rFonts w:hint="eastAsia" w:hAnsi="Arial"/>
          <w:color w:val="000000" w:themeColor="text1"/>
          <w14:textFill>
            <w14:solidFill>
              <w14:schemeClr w14:val="tx1"/>
            </w14:solidFill>
          </w14:textFill>
        </w:rPr>
        <w:t>认证</w:t>
      </w:r>
      <w:r>
        <w:rPr>
          <w:rFonts w:hint="eastAsia"/>
          <w:color w:val="000000" w:themeColor="text1"/>
          <w14:textFill>
            <w14:solidFill>
              <w14:schemeClr w14:val="tx1"/>
            </w14:solidFill>
          </w14:textFill>
        </w:rPr>
        <w:t>。</w:t>
      </w:r>
    </w:p>
    <w:p w14:paraId="0F86271D">
      <w:pPr>
        <w:pStyle w:val="24"/>
        <w:rPr>
          <w:color w:val="0000FF"/>
        </w:rPr>
      </w:pPr>
      <w:r>
        <w:rPr>
          <w:rFonts w:hint="eastAsia"/>
          <w:color w:val="0000FF"/>
        </w:rPr>
        <w:t>对于部分或全自动设备，应由该方法认证的3级人员对检测过程的每个环节进行考量，以确定是否需要特定的无损检测知识与技能来正确执行相关操作。对于被确定需要特定无损检测知识与技能的任务，应按照本文件的要求进行相应级别的认证。</w:t>
      </w:r>
    </w:p>
    <w:p w14:paraId="0923D107">
      <w:pPr>
        <w:pStyle w:val="42"/>
        <w:spacing w:before="156" w:after="156"/>
        <w:rPr>
          <w:color w:val="000000" w:themeColor="text1"/>
          <w14:textFill>
            <w14:solidFill>
              <w14:schemeClr w14:val="tx1"/>
            </w14:solidFill>
          </w14:textFill>
        </w:rPr>
      </w:pPr>
      <w:bookmarkStart w:id="1207" w:name="_Toc314478389"/>
      <w:bookmarkStart w:id="1208" w:name="_Toc62027879"/>
      <w:bookmarkStart w:id="1209" w:name="_Toc303069604"/>
      <w:bookmarkStart w:id="1210" w:name="_Toc314487194"/>
      <w:bookmarkStart w:id="1211" w:name="_Toc50634238"/>
      <w:bookmarkStart w:id="1212" w:name="_Toc303149834"/>
      <w:bookmarkStart w:id="1213" w:name="_Toc240124636"/>
      <w:bookmarkStart w:id="1214" w:name="_Toc303780211"/>
      <w:bookmarkStart w:id="1215" w:name="_Toc303149800"/>
      <w:bookmarkStart w:id="1216" w:name="_Toc65300353"/>
      <w:bookmarkStart w:id="1217" w:name="_Toc316393944"/>
      <w:bookmarkStart w:id="1218" w:name="_Toc61236784"/>
      <w:bookmarkStart w:id="1219" w:name="_Toc61427755"/>
      <w:bookmarkStart w:id="1220" w:name="_Toc309649113"/>
      <w:r>
        <w:rPr>
          <w:rFonts w:hint="eastAsia"/>
          <w:color w:val="000000" w:themeColor="text1"/>
          <w14:textFill>
            <w14:solidFill>
              <w14:schemeClr w14:val="tx1"/>
            </w14:solidFill>
          </w14:textFill>
        </w:rPr>
        <w:t>记录</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14:paraId="3AD45282">
      <w:pPr>
        <w:pStyle w:val="46"/>
        <w:spacing w:before="156" w:after="156"/>
        <w:ind w:left="0"/>
        <w:rPr>
          <w:color w:val="0000FF"/>
        </w:rPr>
      </w:pPr>
      <w:r>
        <w:rPr>
          <w:rFonts w:hint="eastAsia"/>
          <w:color w:val="0000FF"/>
        </w:rPr>
        <w:t>最低要求</w:t>
      </w:r>
    </w:p>
    <w:p w14:paraId="17ED3330">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在认证有效期内，雇主应保存认证人员的资格认证记录。记录应至少包括:</w:t>
      </w:r>
    </w:p>
    <w:p w14:paraId="17ED3331">
      <w:pPr>
        <w:pStyle w:val="59"/>
        <w:rPr>
          <w:color w:val="000000" w:themeColor="text1"/>
          <w14:textFill>
            <w14:solidFill>
              <w14:schemeClr w14:val="tx1"/>
            </w14:solidFill>
          </w14:textFill>
        </w:rPr>
      </w:pPr>
      <w:r>
        <w:rPr>
          <w:rFonts w:hint="eastAsia"/>
          <w:color w:val="000000" w:themeColor="text1"/>
          <w14:textFill>
            <w14:solidFill>
              <w14:schemeClr w14:val="tx1"/>
            </w14:solidFill>
          </w14:textFill>
        </w:rPr>
        <w:t>被认证人的姓名；</w:t>
      </w:r>
    </w:p>
    <w:p w14:paraId="17ED3332">
      <w:pPr>
        <w:pStyle w:val="59"/>
      </w:pPr>
      <w:r>
        <w:rPr>
          <w:rFonts w:hint="eastAsia"/>
          <w:color w:val="000000" w:themeColor="text1"/>
          <w14:textFill>
            <w14:solidFill>
              <w14:schemeClr w14:val="tx1"/>
            </w14:solidFill>
          </w14:textFill>
        </w:rPr>
        <w:t>被认证等级、方法和技术；</w:t>
      </w:r>
      <w:r>
        <w:rPr>
          <w:rFonts w:hint="eastAsia"/>
        </w:rPr>
        <w:t>（技术适用于1级、2级和参加试件检测实际操作考试的3级人员）</w:t>
      </w:r>
    </w:p>
    <w:p w14:paraId="17ED3333">
      <w:pPr>
        <w:pStyle w:val="59"/>
        <w:rPr>
          <w:color w:val="000000" w:themeColor="text1"/>
          <w14:textFill>
            <w14:solidFill>
              <w14:schemeClr w14:val="tx1"/>
            </w14:solidFill>
          </w14:textFill>
        </w:rPr>
      </w:pPr>
      <w:r>
        <w:rPr>
          <w:rFonts w:hint="eastAsia"/>
          <w:color w:val="0000FF"/>
        </w:rPr>
        <w:t>被认证人最新的书面考试和实际操作考试检测单，以及前一次考试的成绩</w:t>
      </w:r>
      <w:r>
        <w:rPr>
          <w:rFonts w:hint="eastAsia"/>
          <w:color w:val="000000" w:themeColor="text1"/>
          <w14:textFill>
            <w14:solidFill>
              <w14:schemeClr w14:val="tx1"/>
            </w14:solidFill>
          </w14:textFill>
        </w:rPr>
        <w:t>；</w:t>
      </w:r>
    </w:p>
    <w:p w14:paraId="17ED3334">
      <w:pPr>
        <w:pStyle w:val="59"/>
        <w:rPr>
          <w:color w:val="000000" w:themeColor="text1"/>
          <w:szCs w:val="21"/>
          <w14:textFill>
            <w14:solidFill>
              <w14:schemeClr w14:val="tx1"/>
            </w14:solidFill>
          </w14:textFill>
        </w:rPr>
      </w:pPr>
      <w:r>
        <w:rPr>
          <w:rFonts w:hint="eastAsia"/>
          <w:color w:val="0000FF"/>
        </w:rPr>
        <w:t>按附录A进行3级重新</w:t>
      </w:r>
      <w:r>
        <w:rPr>
          <w:rFonts w:hint="eastAsia" w:hAnsi="Arial"/>
          <w:color w:val="0000FF"/>
        </w:rPr>
        <w:t>认证</w:t>
      </w:r>
      <w:r>
        <w:rPr>
          <w:rFonts w:hint="eastAsia"/>
          <w:color w:val="0000FF"/>
        </w:rPr>
        <w:t>，</w:t>
      </w:r>
      <w:r>
        <w:rPr>
          <w:rFonts w:hint="eastAsia"/>
          <w:color w:val="0000FF"/>
          <w:szCs w:val="21"/>
        </w:rPr>
        <w:t>应保留学分的证明文件。不需要保留最近一次书面考试和实际操作考试的资料</w:t>
      </w:r>
      <w:r>
        <w:rPr>
          <w:rFonts w:hint="eastAsia"/>
          <w:color w:val="000000" w:themeColor="text1"/>
          <w:szCs w:val="21"/>
          <w14:textFill>
            <w14:solidFill>
              <w14:schemeClr w14:val="tx1"/>
            </w14:solidFill>
          </w14:textFill>
        </w:rPr>
        <w:t>。</w:t>
      </w:r>
    </w:p>
    <w:p w14:paraId="2F9630B8">
      <w:pPr>
        <w:pStyle w:val="59"/>
        <w:rPr>
          <w:color w:val="000000" w:themeColor="text1"/>
          <w:szCs w:val="21"/>
          <w14:textFill>
            <w14:solidFill>
              <w14:schemeClr w14:val="tx1"/>
            </w14:solidFill>
          </w14:textFill>
        </w:rPr>
      </w:pPr>
      <w:r>
        <w:rPr>
          <w:rFonts w:hint="eastAsia"/>
          <w:color w:val="0000FF"/>
        </w:rPr>
        <w:t>按附录C获得3级鉴定资格时，应保留学分的证明文件。</w:t>
      </w:r>
    </w:p>
    <w:p w14:paraId="17ED3335">
      <w:pPr>
        <w:pStyle w:val="59"/>
        <w:rPr>
          <w:color w:val="000000" w:themeColor="text1"/>
          <w14:textFill>
            <w14:solidFill>
              <w14:schemeClr w14:val="tx1"/>
            </w14:solidFill>
          </w14:textFill>
        </w:rPr>
      </w:pPr>
      <w:r>
        <w:rPr>
          <w:rFonts w:hint="eastAsia"/>
          <w:color w:val="0000FF"/>
        </w:rPr>
        <w:t>当前认证的日期和有效期</w:t>
      </w:r>
      <w:r>
        <w:rPr>
          <w:rFonts w:hint="eastAsia"/>
          <w:color w:val="000000" w:themeColor="text1"/>
          <w14:textFill>
            <w14:solidFill>
              <w14:schemeClr w14:val="tx1"/>
            </w14:solidFill>
          </w14:textFill>
        </w:rPr>
        <w:t>；</w:t>
      </w:r>
      <w:r>
        <w:rPr>
          <w:rFonts w:hint="eastAsia" w:hAnsi="Arial"/>
          <w:color w:val="000000" w:themeColor="text1"/>
          <w14:textFill>
            <w14:solidFill>
              <w14:schemeClr w14:val="tx1"/>
            </w14:solidFill>
          </w14:textFill>
        </w:rPr>
        <w:t>认证</w:t>
      </w:r>
      <w:r>
        <w:rPr>
          <w:rFonts w:hint="eastAsia"/>
          <w:color w:val="000000" w:themeColor="text1"/>
          <w:szCs w:val="21"/>
          <w14:textFill>
            <w14:solidFill>
              <w14:schemeClr w14:val="tx1"/>
            </w14:solidFill>
          </w14:textFill>
        </w:rPr>
        <w:t>被中止或作废的日期和理由需要备案。若适用时，</w:t>
      </w:r>
      <w:r>
        <w:rPr>
          <w:rFonts w:hint="eastAsia"/>
          <w:color w:val="0000FF"/>
          <w:szCs w:val="21"/>
        </w:rPr>
        <w:t>认证恢复的</w:t>
      </w:r>
      <w:r>
        <w:rPr>
          <w:rFonts w:hint="eastAsia"/>
          <w:color w:val="000000" w:themeColor="text1"/>
          <w:szCs w:val="21"/>
          <w14:textFill>
            <w14:solidFill>
              <w14:schemeClr w14:val="tx1"/>
            </w14:solidFill>
          </w14:textFill>
        </w:rPr>
        <w:t>日期及采取的措施也需要备案。</w:t>
      </w:r>
    </w:p>
    <w:p w14:paraId="17ED3336">
      <w:pPr>
        <w:pStyle w:val="59"/>
        <w:rPr>
          <w:color w:val="000000" w:themeColor="text1"/>
          <w14:textFill>
            <w14:solidFill>
              <w14:schemeClr w14:val="tx1"/>
            </w14:solidFill>
          </w14:textFill>
        </w:rPr>
      </w:pPr>
      <w:r>
        <w:rPr>
          <w:rFonts w:hint="eastAsia"/>
          <w:color w:val="000000" w:themeColor="text1"/>
          <w14:textFill>
            <w14:solidFill>
              <w14:schemeClr w14:val="tx1"/>
            </w14:solidFill>
          </w14:textFill>
        </w:rPr>
        <w:t>培训历史，包括培训单位、培训类型、</w:t>
      </w:r>
      <w:r>
        <w:rPr>
          <w:rFonts w:hint="eastAsia"/>
          <w:color w:val="0000FF"/>
        </w:rPr>
        <w:t>培训日期</w:t>
      </w:r>
      <w:r>
        <w:rPr>
          <w:rFonts w:hint="eastAsia"/>
          <w:color w:val="000000" w:themeColor="text1"/>
          <w14:textFill>
            <w14:solidFill>
              <w14:schemeClr w14:val="tx1"/>
            </w14:solidFill>
          </w14:textFill>
        </w:rPr>
        <w:t>和学时，</w:t>
      </w:r>
      <w:r>
        <w:rPr>
          <w:rFonts w:hint="eastAsia"/>
          <w:color w:val="0000FF"/>
        </w:rPr>
        <w:t>若适用时</w:t>
      </w:r>
      <w:r>
        <w:rPr>
          <w:rFonts w:hint="eastAsia" w:hAnsi="Arial"/>
          <w:color w:val="0000FF"/>
        </w:rPr>
        <w:t>还应包括6.1.3和6.1.4要求的证明文件</w:t>
      </w:r>
      <w:r>
        <w:rPr>
          <w:rFonts w:hint="eastAsia"/>
          <w:color w:val="000000" w:themeColor="text1"/>
          <w14:textFill>
            <w14:solidFill>
              <w14:schemeClr w14:val="tx1"/>
            </w14:solidFill>
          </w14:textFill>
        </w:rPr>
        <w:t>；</w:t>
      </w:r>
    </w:p>
    <w:p w14:paraId="17ED3337">
      <w:pPr>
        <w:pStyle w:val="59"/>
        <w:rPr>
          <w:color w:val="000000" w:themeColor="text1"/>
          <w14:textFill>
            <w14:solidFill>
              <w14:schemeClr w14:val="tx1"/>
            </w14:solidFill>
          </w14:textFill>
        </w:rPr>
      </w:pPr>
      <w:r>
        <w:rPr>
          <w:rFonts w:hint="eastAsia"/>
          <w:color w:val="000000" w:themeColor="text1"/>
          <w14:textFill>
            <w14:solidFill>
              <w14:schemeClr w14:val="tx1"/>
            </w14:solidFill>
          </w14:textFill>
        </w:rPr>
        <w:t>经历，包括任何先前</w:t>
      </w:r>
      <w:r>
        <w:rPr>
          <w:rFonts w:hint="eastAsia" w:hAnsi="Arial"/>
          <w:color w:val="000000" w:themeColor="text1"/>
          <w14:textFill>
            <w14:solidFill>
              <w14:schemeClr w14:val="tx1"/>
            </w14:solidFill>
          </w14:textFill>
        </w:rPr>
        <w:t>认证</w:t>
      </w:r>
      <w:r>
        <w:rPr>
          <w:rFonts w:hint="eastAsia"/>
          <w:color w:val="000000" w:themeColor="text1"/>
          <w14:textFill>
            <w14:solidFill>
              <w14:schemeClr w14:val="tx1"/>
            </w14:solidFill>
          </w14:textFill>
        </w:rPr>
        <w:t>，在当前雇主和以前雇主处获得的足以证明满足资格</w:t>
      </w:r>
      <w:r>
        <w:rPr>
          <w:rFonts w:hint="eastAsia" w:hAnsi="Arial"/>
          <w:color w:val="0000FF"/>
        </w:rPr>
        <w:t>鉴定</w:t>
      </w:r>
      <w:r>
        <w:rPr>
          <w:rFonts w:hint="eastAsia"/>
          <w:color w:val="000000" w:themeColor="text1"/>
          <w14:textFill>
            <w14:solidFill>
              <w14:schemeClr w14:val="tx1"/>
            </w14:solidFill>
          </w14:textFill>
        </w:rPr>
        <w:t>要求的经历，</w:t>
      </w:r>
      <w:r>
        <w:rPr>
          <w:rFonts w:hint="eastAsia"/>
          <w:color w:val="0000FF"/>
        </w:rPr>
        <w:t>若适用时还应包括6.3.2和6.3.3要求的证明文件</w:t>
      </w:r>
      <w:r>
        <w:rPr>
          <w:rFonts w:hint="eastAsia"/>
          <w:color w:val="000000" w:themeColor="text1"/>
          <w14:textFill>
            <w14:solidFill>
              <w14:schemeClr w14:val="tx1"/>
            </w14:solidFill>
          </w14:textFill>
        </w:rPr>
        <w:t>；</w:t>
      </w:r>
    </w:p>
    <w:p w14:paraId="17ED3338">
      <w:pPr>
        <w:pStyle w:val="59"/>
        <w:rPr>
          <w:color w:val="000000" w:themeColor="text1"/>
          <w14:textFill>
            <w14:solidFill>
              <w14:schemeClr w14:val="tx1"/>
            </w14:solidFill>
          </w14:textFill>
        </w:rPr>
      </w:pPr>
      <w:r>
        <w:rPr>
          <w:rFonts w:hint="eastAsia"/>
          <w:color w:val="0000FF"/>
        </w:rPr>
        <w:t>当前有效的近距离视力和辨色力</w:t>
      </w:r>
      <w:r>
        <w:rPr>
          <w:rFonts w:hint="eastAsia"/>
          <w:color w:val="000000" w:themeColor="text1"/>
          <w14:textFill>
            <w14:solidFill>
              <w14:schemeClr w14:val="tx1"/>
            </w14:solidFill>
          </w14:textFill>
        </w:rPr>
        <w:t>检查结果；</w:t>
      </w:r>
    </w:p>
    <w:p w14:paraId="17ED3339">
      <w:pPr>
        <w:pStyle w:val="59"/>
        <w:rPr>
          <w:color w:val="000000" w:themeColor="text1"/>
          <w14:textFill>
            <w14:solidFill>
              <w14:schemeClr w14:val="tx1"/>
            </w14:solidFill>
          </w14:textFill>
        </w:rPr>
      </w:pPr>
      <w:r>
        <w:rPr>
          <w:rFonts w:hint="eastAsia"/>
          <w:color w:val="000000" w:themeColor="text1"/>
          <w14:textFill>
            <w14:solidFill>
              <w14:schemeClr w14:val="tx1"/>
            </w14:solidFill>
          </w14:textFill>
        </w:rPr>
        <w:t>满足资格鉴定要求的受正规教育的程度和</w:t>
      </w:r>
      <w:r>
        <w:rPr>
          <w:rFonts w:hint="eastAsia"/>
          <w:color w:val="0000FF"/>
        </w:rPr>
        <w:t>证明</w:t>
      </w:r>
      <w:r>
        <w:rPr>
          <w:rFonts w:hint="eastAsia"/>
          <w:color w:val="000000" w:themeColor="text1"/>
          <w14:textFill>
            <w14:solidFill>
              <w14:schemeClr w14:val="tx1"/>
            </w14:solidFill>
          </w14:textFill>
        </w:rPr>
        <w:t>文件；</w:t>
      </w:r>
    </w:p>
    <w:p w14:paraId="17ED333B">
      <w:pPr>
        <w:pStyle w:val="59"/>
        <w:rPr>
          <w:color w:val="000000" w:themeColor="text1"/>
          <w14:textFill>
            <w14:solidFill>
              <w14:schemeClr w14:val="tx1"/>
            </w14:solidFill>
          </w14:textFill>
        </w:rPr>
      </w:pPr>
      <w:r>
        <w:rPr>
          <w:rFonts w:hint="eastAsia"/>
          <w:color w:val="000000" w:themeColor="text1"/>
          <w14:textFill>
            <w14:solidFill>
              <w14:schemeClr w14:val="tx1"/>
            </w14:solidFill>
          </w14:textFill>
        </w:rPr>
        <w:t>雇主认证代表的</w:t>
      </w:r>
      <w:r>
        <w:rPr>
          <w:rFonts w:hint="eastAsia"/>
          <w:color w:val="0000FF"/>
        </w:rPr>
        <w:t>姓名和</w:t>
      </w:r>
      <w:r>
        <w:rPr>
          <w:rFonts w:hint="eastAsia"/>
          <w:color w:val="000000" w:themeColor="text1"/>
          <w14:textFill>
            <w14:solidFill>
              <w14:schemeClr w14:val="tx1"/>
            </w14:solidFill>
          </w14:textFill>
        </w:rPr>
        <w:t>签名；</w:t>
      </w:r>
    </w:p>
    <w:p w14:paraId="17ED333C">
      <w:pPr>
        <w:pStyle w:val="59"/>
      </w:pPr>
      <w:r>
        <w:rPr>
          <w:rFonts w:hint="eastAsia"/>
        </w:rPr>
        <w:t>最近一次年度技能评审的结果。</w:t>
      </w:r>
    </w:p>
    <w:p w14:paraId="209618A5">
      <w:pPr>
        <w:pStyle w:val="46"/>
        <w:spacing w:before="156" w:after="156"/>
        <w:ind w:left="0"/>
      </w:pPr>
      <w:r>
        <w:rPr>
          <w:rFonts w:hint="eastAsia"/>
        </w:rPr>
        <w:t>记录的获得</w:t>
      </w:r>
    </w:p>
    <w:p w14:paraId="3A5E98DA">
      <w:pPr>
        <w:pStyle w:val="59"/>
        <w:numPr>
          <w:ilvl w:val="0"/>
          <w:numId w:val="0"/>
        </w:numPr>
        <w:ind w:firstLine="420" w:firstLineChars="200"/>
        <w:rPr>
          <w:rFonts w:ascii="Arial" w:cs="Arial"/>
          <w:color w:val="0000FF"/>
        </w:rPr>
      </w:pPr>
      <w:r>
        <w:rPr>
          <w:rFonts w:hint="eastAsia"/>
          <w:color w:val="000000" w:themeColor="text1"/>
          <w14:textFill>
            <w14:solidFill>
              <w14:schemeClr w14:val="tx1"/>
            </w14:solidFill>
          </w14:textFill>
        </w:rPr>
        <w:t>所有培训、鉴定和认证记录应按雇主的书面实施规程保存，并且能够提供给客户或管理部门审查。</w:t>
      </w:r>
    </w:p>
    <w:p w14:paraId="6B71D15E">
      <w:pPr>
        <w:pStyle w:val="59"/>
        <w:numPr>
          <w:ilvl w:val="0"/>
          <w:numId w:val="0"/>
        </w:numPr>
        <w:ind w:firstLine="420" w:firstLineChars="200"/>
        <w:rPr>
          <w:color w:val="0000FF"/>
        </w:rPr>
      </w:pPr>
      <w:r>
        <w:rPr>
          <w:rFonts w:hint="eastAsia"/>
          <w:color w:val="0000FF"/>
        </w:rPr>
        <w:t>除考试试卷外，所有培训、鉴定和认证记录应在员工要求时或员工以任何理由要求离职时予以提供。</w:t>
      </w:r>
    </w:p>
    <w:p w14:paraId="17ED333D">
      <w:pPr>
        <w:pStyle w:val="42"/>
        <w:spacing w:before="156" w:after="156"/>
        <w:rPr>
          <w:color w:val="000000" w:themeColor="text1"/>
          <w14:textFill>
            <w14:solidFill>
              <w14:schemeClr w14:val="tx1"/>
            </w14:solidFill>
          </w14:textFill>
        </w:rPr>
      </w:pPr>
      <w:bookmarkStart w:id="1221" w:name="_Toc65300354"/>
      <w:bookmarkStart w:id="1222" w:name="_Toc303149801"/>
      <w:bookmarkStart w:id="1223" w:name="_Toc303149835"/>
      <w:bookmarkStart w:id="1224" w:name="_Toc50634239"/>
      <w:bookmarkStart w:id="1225" w:name="_Toc240124637"/>
      <w:bookmarkStart w:id="1226" w:name="_Toc309649114"/>
      <w:bookmarkStart w:id="1227" w:name="_Toc303069605"/>
      <w:bookmarkStart w:id="1228" w:name="_Toc314478390"/>
      <w:bookmarkStart w:id="1229" w:name="_Toc316393945"/>
      <w:bookmarkStart w:id="1230" w:name="_Toc61236785"/>
      <w:bookmarkStart w:id="1231" w:name="_Toc62027880"/>
      <w:bookmarkStart w:id="1232" w:name="_Toc314487195"/>
      <w:bookmarkStart w:id="1233" w:name="_Toc61427756"/>
      <w:bookmarkStart w:id="1234" w:name="_Toc303780212"/>
      <w:r>
        <w:rPr>
          <w:rFonts w:hint="eastAsia"/>
          <w:color w:val="000000" w:themeColor="text1"/>
          <w14:textFill>
            <w14:solidFill>
              <w14:schemeClr w14:val="tx1"/>
            </w14:solidFill>
          </w14:textFill>
        </w:rPr>
        <w:t>认证失效</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14:paraId="17ED333E">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认证到期</w:t>
      </w:r>
    </w:p>
    <w:p w14:paraId="17ED3340">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所有等级的资格证书已到期限而没有重新</w:t>
      </w:r>
      <w:r>
        <w:rPr>
          <w:rFonts w:hint="eastAsia" w:hAnsi="Arial"/>
          <w:color w:val="000000" w:themeColor="text1"/>
          <w14:textFill>
            <w14:solidFill>
              <w14:schemeClr w14:val="tx1"/>
            </w14:solidFill>
          </w14:textFill>
        </w:rPr>
        <w:t>认证</w:t>
      </w:r>
      <w:r>
        <w:rPr>
          <w:rFonts w:hint="eastAsia"/>
          <w:color w:val="000000" w:themeColor="text1"/>
          <w14:textFill>
            <w14:solidFill>
              <w14:schemeClr w14:val="tx1"/>
            </w14:solidFill>
          </w14:textFill>
        </w:rPr>
        <w:t>的，应视为认证到期。资格</w:t>
      </w:r>
      <w:r>
        <w:rPr>
          <w:rFonts w:hint="eastAsia" w:hAnsi="Arial"/>
          <w:color w:val="000000" w:themeColor="text1"/>
          <w14:textFill>
            <w14:solidFill>
              <w14:schemeClr w14:val="tx1"/>
            </w14:solidFill>
          </w14:textFill>
        </w:rPr>
        <w:t>认</w:t>
      </w:r>
      <w:r>
        <w:rPr>
          <w:rFonts w:hint="eastAsia" w:hAnsi="Arial"/>
        </w:rPr>
        <w:t>证、年度技能评审和视</w:t>
      </w:r>
      <w:r>
        <w:rPr>
          <w:rFonts w:hint="eastAsia" w:hAnsi="Arial"/>
          <w:color w:val="000000" w:themeColor="text1"/>
          <w14:textFill>
            <w14:solidFill>
              <w14:schemeClr w14:val="tx1"/>
            </w14:solidFill>
          </w14:textFill>
        </w:rPr>
        <w:t>力检查</w:t>
      </w:r>
      <w:r>
        <w:rPr>
          <w:rFonts w:hint="eastAsia"/>
          <w:color w:val="000000" w:themeColor="text1"/>
          <w:szCs w:val="21"/>
          <w14:textFill>
            <w14:solidFill>
              <w14:schemeClr w14:val="tx1"/>
            </w14:solidFill>
          </w14:textFill>
        </w:rPr>
        <w:t>的有效期为生效日期对应月份的月底</w:t>
      </w:r>
      <w:r>
        <w:rPr>
          <w:rFonts w:hint="eastAsia"/>
          <w:color w:val="000000" w:themeColor="text1"/>
          <w14:textFill>
            <w14:solidFill>
              <w14:schemeClr w14:val="tx1"/>
            </w14:solidFill>
          </w14:textFill>
        </w:rPr>
        <w:t>。</w:t>
      </w:r>
    </w:p>
    <w:p w14:paraId="17ED3341">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认证中止</w:t>
      </w:r>
    </w:p>
    <w:p w14:paraId="17ED3342">
      <w:pPr>
        <w:ind w:firstLine="420" w:firstLineChars="200"/>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当有以下情况时，认证被中止：</w:t>
      </w:r>
    </w:p>
    <w:p w14:paraId="17ED3343">
      <w:pPr>
        <w:pStyle w:val="48"/>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视力检查过期；</w:t>
      </w:r>
    </w:p>
    <w:p w14:paraId="17ED3344">
      <w:pPr>
        <w:pStyle w:val="48"/>
        <w:rPr>
          <w:color w:val="000000" w:themeColor="text1"/>
          <w:szCs w:val="21"/>
          <w14:textFill>
            <w14:solidFill>
              <w14:schemeClr w14:val="tx1"/>
            </w14:solidFill>
          </w14:textFill>
        </w:rPr>
      </w:pPr>
      <w:r>
        <w:rPr>
          <w:rFonts w:hint="eastAsia"/>
          <w:color w:val="0000FF"/>
          <w:szCs w:val="21"/>
        </w:rPr>
        <w:t>至少</w:t>
      </w:r>
      <w:r>
        <w:rPr>
          <w:rFonts w:hint="eastAsia"/>
          <w:color w:val="000000" w:themeColor="text1"/>
          <w:szCs w:val="21"/>
          <w14:textFill>
            <w14:solidFill>
              <w14:schemeClr w14:val="tx1"/>
            </w14:solidFill>
          </w14:textFill>
        </w:rPr>
        <w:t>连续12个月没有从事被认证方法的相关工作；</w:t>
      </w:r>
    </w:p>
    <w:p w14:paraId="17ED3345">
      <w:pPr>
        <w:pStyle w:val="48"/>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没有通过</w:t>
      </w:r>
      <w:r>
        <w:rPr>
          <w:rFonts w:hint="eastAsia" w:hAnsi="Arial"/>
          <w:color w:val="000000" w:themeColor="text1"/>
          <w14:textFill>
            <w14:solidFill>
              <w14:schemeClr w14:val="tx1"/>
            </w14:solidFill>
          </w14:textFill>
        </w:rPr>
        <w:t>重新</w:t>
      </w:r>
      <w:r>
        <w:rPr>
          <w:rFonts w:hint="eastAsia" w:hAnsi="Arial"/>
          <w:color w:val="0000FF"/>
        </w:rPr>
        <w:t>认证</w:t>
      </w:r>
      <w:r>
        <w:rPr>
          <w:rFonts w:hint="eastAsia"/>
          <w:color w:val="000000" w:themeColor="text1"/>
          <w:szCs w:val="21"/>
          <w14:textFill>
            <w14:solidFill>
              <w14:schemeClr w14:val="tx1"/>
            </w14:solidFill>
          </w14:textFill>
        </w:rPr>
        <w:t>考试；</w:t>
      </w:r>
    </w:p>
    <w:p w14:paraId="17ED3346">
      <w:pPr>
        <w:pStyle w:val="48"/>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在某些方面被发现能力不足；</w:t>
      </w:r>
    </w:p>
    <w:p w14:paraId="41A5E876">
      <w:pPr>
        <w:pStyle w:val="48"/>
      </w:pPr>
      <w:bookmarkStart w:id="1235" w:name="_Hlk493016415"/>
      <w:r>
        <w:rPr>
          <w:rFonts w:hint="eastAsia"/>
          <w:szCs w:val="21"/>
        </w:rPr>
        <w:t>年度技能评审过期</w:t>
      </w:r>
      <w:bookmarkEnd w:id="1235"/>
      <w:r>
        <w:rPr>
          <w:rFonts w:hint="eastAsia"/>
          <w:szCs w:val="21"/>
        </w:rPr>
        <w:t>。</w:t>
      </w:r>
    </w:p>
    <w:p w14:paraId="17ED3348">
      <w:pPr>
        <w:pStyle w:val="46"/>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认证作废</w:t>
      </w:r>
    </w:p>
    <w:p w14:paraId="17ED3349">
      <w:pPr>
        <w:pStyle w:val="24"/>
        <w:rPr>
          <w:color w:val="0000FF"/>
        </w:rPr>
      </w:pPr>
      <w:r>
        <w:rPr>
          <w:rFonts w:hint="eastAsia"/>
          <w:color w:val="0000FF"/>
        </w:rPr>
        <w:t>当至少连续24个月没有从事被认证方法相关的工作，</w:t>
      </w:r>
      <w:r>
        <w:rPr>
          <w:rFonts w:hint="eastAsia"/>
          <w:color w:val="0000FF"/>
          <w:szCs w:val="21"/>
        </w:rPr>
        <w:t>或雇佣关系中断，</w:t>
      </w:r>
      <w:r>
        <w:rPr>
          <w:rFonts w:hint="eastAsia"/>
          <w:color w:val="0000FF"/>
        </w:rPr>
        <w:t>或者被发现不能胜任工作时，认证应作废</w:t>
      </w:r>
      <w:r>
        <w:rPr>
          <w:rFonts w:hint="eastAsia"/>
          <w:color w:val="000000" w:themeColor="text1"/>
          <w14:textFill>
            <w14:solidFill>
              <w14:schemeClr w14:val="tx1"/>
            </w14:solidFill>
          </w14:textFill>
        </w:rPr>
        <w:t>。</w:t>
      </w:r>
      <w:r>
        <w:rPr>
          <w:rFonts w:hint="eastAsia"/>
          <w:color w:val="000000" w:themeColor="text1"/>
          <w:szCs w:val="21"/>
          <w14:textFill>
            <w14:solidFill>
              <w14:schemeClr w14:val="tx1"/>
            </w14:solidFill>
          </w14:textFill>
        </w:rPr>
        <w:t>当离职人员在24个月内被原雇主重新雇佣时，可视为认证中止。</w:t>
      </w:r>
      <w:r>
        <w:rPr>
          <w:rFonts w:hint="eastAsia"/>
          <w:color w:val="0000FF"/>
          <w:szCs w:val="21"/>
        </w:rPr>
        <w:t>如果被发现行为不道德时，所有认证都应作废。</w:t>
      </w:r>
    </w:p>
    <w:p w14:paraId="17ED334A">
      <w:pPr>
        <w:pStyle w:val="42"/>
        <w:spacing w:before="156" w:after="156"/>
        <w:rPr>
          <w:color w:val="000000" w:themeColor="text1"/>
          <w14:textFill>
            <w14:solidFill>
              <w14:schemeClr w14:val="tx1"/>
            </w14:solidFill>
          </w14:textFill>
        </w:rPr>
      </w:pPr>
      <w:bookmarkStart w:id="1236" w:name="_Toc240124638"/>
      <w:r>
        <w:rPr>
          <w:rFonts w:hint="eastAsia"/>
          <w:color w:val="000000" w:themeColor="text1"/>
          <w14:textFill>
            <w14:solidFill>
              <w14:schemeClr w14:val="tx1"/>
            </w14:solidFill>
          </w14:textFill>
        </w:rPr>
        <w:t>认证恢复</w:t>
      </w:r>
      <w:bookmarkEnd w:id="1236"/>
    </w:p>
    <w:p w14:paraId="43CD1314">
      <w:pPr>
        <w:pStyle w:val="24"/>
        <w:rPr>
          <w:color w:val="0000FF"/>
        </w:rPr>
      </w:pPr>
      <w:r>
        <w:rPr>
          <w:rFonts w:hint="eastAsia"/>
          <w:color w:val="0000FF"/>
        </w:rPr>
        <w:t>仅当满足下列要求时，认证可以恢复：</w:t>
      </w:r>
    </w:p>
    <w:p w14:paraId="17ED334B">
      <w:pPr>
        <w:pStyle w:val="48"/>
        <w:rPr>
          <w:color w:val="000000" w:themeColor="text1"/>
          <w14:textFill>
            <w14:solidFill>
              <w14:schemeClr w14:val="tx1"/>
            </w14:solidFill>
          </w14:textFill>
        </w:rPr>
      </w:pPr>
      <w:r>
        <w:rPr>
          <w:rFonts w:hint="eastAsia"/>
          <w:color w:val="0000FF"/>
        </w:rPr>
        <w:t>当造成</w:t>
      </w:r>
      <w:r>
        <w:rPr>
          <w:rFonts w:hint="eastAsia"/>
          <w:color w:val="0000FF"/>
          <w:szCs w:val="21"/>
        </w:rPr>
        <w:t>认证</w:t>
      </w:r>
      <w:r>
        <w:rPr>
          <w:rFonts w:hint="eastAsia"/>
          <w:color w:val="0000FF"/>
        </w:rPr>
        <w:t>被中止的原因已经纠正，并且纠正措施在责任3级人员确认后得到雇主的证实，则被中止的</w:t>
      </w:r>
      <w:r>
        <w:rPr>
          <w:rFonts w:hint="eastAsia"/>
          <w:color w:val="0000FF"/>
          <w:szCs w:val="21"/>
        </w:rPr>
        <w:t>认证</w:t>
      </w:r>
      <w:r>
        <w:rPr>
          <w:rFonts w:hint="eastAsia"/>
          <w:color w:val="0000FF"/>
        </w:rPr>
        <w:t>可以恢复</w:t>
      </w:r>
      <w:r>
        <w:rPr>
          <w:rFonts w:hint="eastAsia" w:hAnsi="Arial"/>
          <w:color w:val="0000FF"/>
        </w:rPr>
        <w:t>至原</w:t>
      </w:r>
      <w:r>
        <w:rPr>
          <w:rFonts w:hint="eastAsia"/>
          <w:color w:val="0000FF"/>
          <w:szCs w:val="21"/>
        </w:rPr>
        <w:t>认证</w:t>
      </w:r>
      <w:r>
        <w:rPr>
          <w:rFonts w:hint="eastAsia" w:hAnsi="Arial"/>
          <w:color w:val="0000FF"/>
        </w:rPr>
        <w:t>日期</w:t>
      </w:r>
      <w:r>
        <w:rPr>
          <w:rFonts w:hint="eastAsia"/>
          <w:color w:val="0000FF"/>
        </w:rPr>
        <w:t>。责任3级人员</w:t>
      </w:r>
      <w:r>
        <w:rPr>
          <w:rFonts w:hint="eastAsia" w:hAnsi="Arial"/>
          <w:color w:val="0000FF"/>
        </w:rPr>
        <w:t>或主考人应确认</w:t>
      </w:r>
      <w:r>
        <w:rPr>
          <w:rFonts w:hint="eastAsia"/>
          <w:color w:val="0000FF"/>
        </w:rPr>
        <w:t>该人员的熟练程度已经具备。</w:t>
      </w:r>
    </w:p>
    <w:p w14:paraId="5EEDE6A4">
      <w:pPr>
        <w:pStyle w:val="48"/>
        <w:rPr>
          <w:color w:val="000000" w:themeColor="text1"/>
          <w14:textFill>
            <w14:solidFill>
              <w14:schemeClr w14:val="tx1"/>
            </w14:solidFill>
          </w14:textFill>
        </w:rPr>
      </w:pPr>
      <w:r>
        <w:rPr>
          <w:rFonts w:hint="eastAsia"/>
          <w:color w:val="0000FF"/>
        </w:rPr>
        <w:t>已过期的认证仅应通过专业考试和实际操作考试予以恢复。</w:t>
      </w:r>
    </w:p>
    <w:p w14:paraId="1395386D">
      <w:pPr>
        <w:pStyle w:val="48"/>
        <w:rPr>
          <w:color w:val="000000" w:themeColor="text1"/>
          <w14:textFill>
            <w14:solidFill>
              <w14:schemeClr w14:val="tx1"/>
            </w14:solidFill>
          </w14:textFill>
        </w:rPr>
      </w:pPr>
      <w:r>
        <w:rPr>
          <w:rFonts w:hint="eastAsia"/>
          <w:color w:val="0000FF"/>
        </w:rPr>
        <w:t>已作废的认证仅应通过通用考试、专业考试和实际操作考试，并且作废原因已得到纠正，而且纠正措施在责任3级人员确认后得到雇主的证实的情况下予以恢复。</w:t>
      </w:r>
    </w:p>
    <w:p w14:paraId="17ED334C">
      <w:pPr>
        <w:pStyle w:val="24"/>
        <w:rPr>
          <w:color w:val="000000" w:themeColor="text1"/>
          <w14:textFill>
            <w14:solidFill>
              <w14:schemeClr w14:val="tx1"/>
            </w14:solidFill>
          </w14:textFill>
        </w:rPr>
      </w:pPr>
      <w:r>
        <w:rPr>
          <w:rFonts w:hint="eastAsia" w:hAnsi="Arial"/>
          <w:color w:val="0000FF"/>
        </w:rPr>
        <w:t>当前有效的</w:t>
      </w:r>
      <w:r>
        <w:rPr>
          <w:rFonts w:hint="eastAsia"/>
          <w:color w:val="0000FF"/>
          <w:lang w:eastAsia="zh-CN"/>
        </w:rPr>
        <w:t>中国民用航空维修协会无损检测人员资格鉴定专业委员会</w:t>
      </w:r>
      <w:r>
        <w:rPr>
          <w:rFonts w:hint="eastAsia" w:hAnsi="Arial"/>
          <w:color w:val="0000FF"/>
        </w:rPr>
        <w:t>鉴定证书可用于新雇主，但新雇主应组织补充考试，该考试应涵盖新雇主责任3级人员确定并备案的检测流程和产品的代表性内容。认证的有效期自原证书生效日期起计算</w:t>
      </w:r>
      <w:r>
        <w:rPr>
          <w:rFonts w:hint="eastAsia"/>
          <w:color w:val="000000" w:themeColor="text1"/>
          <w14:textFill>
            <w14:solidFill>
              <w14:schemeClr w14:val="tx1"/>
            </w14:solidFill>
          </w14:textFill>
        </w:rPr>
        <w:t>。</w:t>
      </w:r>
    </w:p>
    <w:p w14:paraId="17ED334D">
      <w:pPr>
        <w:pStyle w:val="42"/>
        <w:spacing w:before="156" w:after="156"/>
        <w:rPr>
          <w:color w:val="000000" w:themeColor="text1"/>
          <w14:textFill>
            <w14:solidFill>
              <w14:schemeClr w14:val="tx1"/>
            </w14:solidFill>
          </w14:textFill>
        </w:rPr>
      </w:pPr>
      <w:bookmarkStart w:id="1237" w:name="_Toc303069607"/>
      <w:bookmarkStart w:id="1238" w:name="_Toc303149803"/>
      <w:bookmarkStart w:id="1239" w:name="_Toc314487197"/>
      <w:bookmarkStart w:id="1240" w:name="_Toc316393947"/>
      <w:bookmarkStart w:id="1241" w:name="_Toc309649116"/>
      <w:bookmarkStart w:id="1242" w:name="_Toc303149837"/>
      <w:bookmarkStart w:id="1243" w:name="_Toc314478392"/>
      <w:bookmarkStart w:id="1244" w:name="_Toc303780214"/>
      <w:bookmarkStart w:id="1245" w:name="_Toc240124639"/>
      <w:r>
        <w:rPr>
          <w:rFonts w:hint="eastAsia"/>
          <w:color w:val="000000" w:themeColor="text1"/>
          <w14:textFill>
            <w14:solidFill>
              <w14:schemeClr w14:val="tx1"/>
            </w14:solidFill>
          </w14:textFill>
        </w:rPr>
        <w:t>重新</w:t>
      </w:r>
      <w:bookmarkEnd w:id="1237"/>
      <w:bookmarkEnd w:id="1238"/>
      <w:bookmarkEnd w:id="1239"/>
      <w:bookmarkEnd w:id="1240"/>
      <w:bookmarkEnd w:id="1241"/>
      <w:bookmarkEnd w:id="1242"/>
      <w:bookmarkEnd w:id="1243"/>
      <w:bookmarkEnd w:id="1244"/>
      <w:r>
        <w:rPr>
          <w:rFonts w:hint="eastAsia" w:hAnsi="Arial"/>
          <w:color w:val="000000" w:themeColor="text1"/>
          <w14:textFill>
            <w14:solidFill>
              <w14:schemeClr w14:val="tx1"/>
            </w14:solidFill>
          </w14:textFill>
        </w:rPr>
        <w:t>认证</w:t>
      </w:r>
      <w:bookmarkEnd w:id="1245"/>
    </w:p>
    <w:p w14:paraId="17ED334E">
      <w:pPr>
        <w:pStyle w:val="46"/>
        <w:spacing w:before="156" w:after="156"/>
        <w:ind w:left="0"/>
        <w:rPr>
          <w:color w:val="000000" w:themeColor="text1"/>
          <w14:textFill>
            <w14:solidFill>
              <w14:schemeClr w14:val="tx1"/>
            </w14:solidFill>
          </w14:textFill>
        </w:rPr>
      </w:pPr>
      <w:bookmarkStart w:id="1246" w:name="_Toc50634241"/>
      <w:bookmarkStart w:id="1247" w:name="_Toc62027882"/>
      <w:bookmarkStart w:id="1248" w:name="_Toc61427758"/>
      <w:bookmarkStart w:id="1249" w:name="_Toc65300356"/>
      <w:bookmarkStart w:id="1250" w:name="_Toc61236787"/>
      <w:r>
        <w:rPr>
          <w:rFonts w:hint="eastAsia"/>
          <w:color w:val="000000" w:themeColor="text1"/>
          <w14:textFill>
            <w14:solidFill>
              <w14:schemeClr w14:val="tx1"/>
            </w14:solidFill>
          </w14:textFill>
        </w:rPr>
        <w:t>1级和2级人员</w:t>
      </w:r>
      <w:bookmarkEnd w:id="1246"/>
      <w:bookmarkEnd w:id="1247"/>
      <w:bookmarkEnd w:id="1248"/>
      <w:bookmarkEnd w:id="1249"/>
      <w:bookmarkEnd w:id="1250"/>
    </w:p>
    <w:p w14:paraId="17ED334F">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1级和2级人员在间隔不超过5年时，应重新</w:t>
      </w:r>
      <w:r>
        <w:rPr>
          <w:rFonts w:hint="eastAsia" w:hAnsi="Arial"/>
          <w:color w:val="000000" w:themeColor="text1"/>
          <w14:textFill>
            <w14:solidFill>
              <w14:schemeClr w14:val="tx1"/>
            </w14:solidFill>
          </w14:textFill>
        </w:rPr>
        <w:t>认证</w:t>
      </w:r>
      <w:r>
        <w:rPr>
          <w:rFonts w:hint="eastAsia"/>
          <w:color w:val="000000" w:themeColor="text1"/>
          <w14:textFill>
            <w14:solidFill>
              <w14:schemeClr w14:val="tx1"/>
            </w14:solidFill>
          </w14:textFill>
        </w:rPr>
        <w:t>。应以</w:t>
      </w:r>
      <w:r>
        <w:rPr>
          <w:rFonts w:hint="eastAsia"/>
          <w:color w:val="0000FF"/>
        </w:rPr>
        <w:t>成功通过</w:t>
      </w:r>
      <w:r>
        <w:rPr>
          <w:rFonts w:hint="eastAsia"/>
          <w:color w:val="000000" w:themeColor="text1"/>
          <w14:textFill>
            <w14:solidFill>
              <w14:schemeClr w14:val="tx1"/>
            </w14:solidFill>
          </w14:textFill>
        </w:rPr>
        <w:t>专业考试和实际操作考试</w:t>
      </w:r>
      <w:r>
        <w:rPr>
          <w:rFonts w:hint="eastAsia"/>
          <w:color w:val="0000FF"/>
        </w:rPr>
        <w:t>来进行重新认证</w:t>
      </w:r>
      <w:r>
        <w:rPr>
          <w:rFonts w:hint="eastAsia"/>
          <w:color w:val="000000" w:themeColor="text1"/>
          <w14:textFill>
            <w14:solidFill>
              <w14:schemeClr w14:val="tx1"/>
            </w14:solidFill>
          </w14:textFill>
        </w:rPr>
        <w:t>。</w:t>
      </w:r>
    </w:p>
    <w:p w14:paraId="17ED3350">
      <w:pPr>
        <w:pStyle w:val="46"/>
        <w:spacing w:before="156" w:after="156"/>
        <w:ind w:left="0"/>
        <w:rPr>
          <w:color w:val="000000" w:themeColor="text1"/>
          <w14:textFill>
            <w14:solidFill>
              <w14:schemeClr w14:val="tx1"/>
            </w14:solidFill>
          </w14:textFill>
        </w:rPr>
      </w:pPr>
      <w:bookmarkStart w:id="1251" w:name="_Toc50634242"/>
      <w:bookmarkStart w:id="1252" w:name="_Toc61427759"/>
      <w:bookmarkStart w:id="1253" w:name="_Toc62027883"/>
      <w:bookmarkStart w:id="1254" w:name="_Toc61236788"/>
      <w:bookmarkStart w:id="1255" w:name="_Toc65300357"/>
      <w:r>
        <w:rPr>
          <w:rFonts w:hint="eastAsia"/>
          <w:color w:val="000000" w:themeColor="text1"/>
          <w14:textFill>
            <w14:solidFill>
              <w14:schemeClr w14:val="tx1"/>
            </w14:solidFill>
          </w14:textFill>
        </w:rPr>
        <w:t>3级人员</w:t>
      </w:r>
      <w:bookmarkEnd w:id="1251"/>
      <w:bookmarkEnd w:id="1252"/>
      <w:bookmarkEnd w:id="1253"/>
      <w:bookmarkEnd w:id="1254"/>
      <w:bookmarkEnd w:id="1255"/>
    </w:p>
    <w:p w14:paraId="17ED3351">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3级人员在间隔不超过５年时应重新</w:t>
      </w:r>
      <w:r>
        <w:rPr>
          <w:rFonts w:hint="eastAsia" w:hAnsi="Arial"/>
          <w:color w:val="000000" w:themeColor="text1"/>
          <w14:textFill>
            <w14:solidFill>
              <w14:schemeClr w14:val="tx1"/>
            </w14:solidFill>
          </w14:textFill>
        </w:rPr>
        <w:t>认证</w:t>
      </w:r>
      <w:r>
        <w:rPr>
          <w:rFonts w:hint="eastAsia"/>
          <w:color w:val="000000" w:themeColor="text1"/>
          <w14:textFill>
            <w14:solidFill>
              <w14:schemeClr w14:val="tx1"/>
            </w14:solidFill>
          </w14:textFill>
        </w:rPr>
        <w:t>。</w:t>
      </w:r>
      <w:r>
        <w:rPr>
          <w:rFonts w:hint="eastAsia" w:hAnsi="Arial"/>
          <w:color w:val="0000FF"/>
        </w:rPr>
        <w:t>可以</w:t>
      </w:r>
      <w:r>
        <w:rPr>
          <w:rFonts w:hint="eastAsia"/>
          <w:color w:val="0000FF"/>
        </w:rPr>
        <w:t>按附录</w:t>
      </w:r>
      <w:r>
        <w:rPr>
          <w:color w:val="0000FF"/>
        </w:rPr>
        <w:t>A</w:t>
      </w:r>
      <w:r>
        <w:rPr>
          <w:rFonts w:hint="eastAsia"/>
          <w:color w:val="0000FF"/>
        </w:rPr>
        <w:t>规定的学分体系，或者成功通过专业和实际操作考试来进行重新认证</w:t>
      </w:r>
      <w:r>
        <w:rPr>
          <w:rFonts w:hint="eastAsia"/>
          <w:color w:val="000000" w:themeColor="text1"/>
          <w14:textFill>
            <w14:solidFill>
              <w14:schemeClr w14:val="tx1"/>
            </w14:solidFill>
          </w14:textFill>
        </w:rPr>
        <w:t>。</w:t>
      </w:r>
    </w:p>
    <w:p w14:paraId="2687EAC0">
      <w:pPr>
        <w:pStyle w:val="46"/>
        <w:spacing w:before="156" w:after="156"/>
        <w:ind w:left="0"/>
      </w:pPr>
      <w:r>
        <w:rPr>
          <w:rFonts w:hint="eastAsia"/>
        </w:rPr>
        <w:t>试件检测实际操作考试</w:t>
      </w:r>
    </w:p>
    <w:p w14:paraId="17ED3352">
      <w:pPr>
        <w:pStyle w:val="24"/>
        <w:rPr>
          <w:color w:val="0000FF"/>
        </w:rPr>
      </w:pPr>
      <w:r>
        <w:rPr>
          <w:rFonts w:hint="eastAsia"/>
          <w:color w:val="0000FF"/>
        </w:rPr>
        <w:t>如果3级人员职责包括产品零件验收，则应附加与2级人员考试要求相同的试件检测实际操作考试。</w:t>
      </w:r>
    </w:p>
    <w:p w14:paraId="17ED3353">
      <w:pPr>
        <w:pStyle w:val="42"/>
        <w:spacing w:before="156" w:after="156"/>
        <w:rPr>
          <w:color w:val="000000" w:themeColor="text1"/>
          <w14:textFill>
            <w14:solidFill>
              <w14:schemeClr w14:val="tx1"/>
            </w14:solidFill>
          </w14:textFill>
        </w:rPr>
      </w:pPr>
      <w:bookmarkStart w:id="1256" w:name="_Toc240124640"/>
      <w:r>
        <w:rPr>
          <w:rFonts w:hint="eastAsia"/>
          <w:color w:val="000000" w:themeColor="text1"/>
          <w14:textFill>
            <w14:solidFill>
              <w14:schemeClr w14:val="tx1"/>
            </w14:solidFill>
          </w14:textFill>
        </w:rPr>
        <w:t>年度</w:t>
      </w:r>
      <w:r>
        <w:rPr>
          <w:rFonts w:hint="eastAsia"/>
        </w:rPr>
        <w:t>技能评审</w:t>
      </w:r>
      <w:bookmarkEnd w:id="1256"/>
    </w:p>
    <w:p w14:paraId="17ED3354">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雇主应制定</w:t>
      </w:r>
      <w:r>
        <w:rPr>
          <w:rFonts w:hint="eastAsia"/>
        </w:rPr>
        <w:t>并开展年度技能评审，对</w:t>
      </w:r>
      <w:r>
        <w:rPr>
          <w:rFonts w:hint="eastAsia"/>
          <w:color w:val="000000" w:themeColor="text1"/>
          <w14:textFill>
            <w14:solidFill>
              <w14:schemeClr w14:val="tx1"/>
            </w14:solidFill>
          </w14:textFill>
        </w:rPr>
        <w:t>每种检测方法各等级负责处理或检测产品的所有人员在其证书有效期内对其技术掌握能力进行验证。</w:t>
      </w:r>
    </w:p>
    <w:p w14:paraId="17ED3355">
      <w:pPr>
        <w:pStyle w:val="24"/>
        <w:rPr>
          <w:color w:val="000000" w:themeColor="text1"/>
          <w14:textFill>
            <w14:solidFill>
              <w14:schemeClr w14:val="tx1"/>
            </w14:solidFill>
          </w14:textFill>
        </w:rPr>
      </w:pPr>
    </w:p>
    <w:p w14:paraId="17ED3356">
      <w:pPr>
        <w:pStyle w:val="98"/>
        <w:rPr>
          <w:color w:val="000000" w:themeColor="text1"/>
          <w14:textFill>
            <w14:solidFill>
              <w14:schemeClr w14:val="tx1"/>
            </w14:solidFill>
          </w14:textFill>
        </w:rPr>
      </w:pPr>
      <w:bookmarkStart w:id="1257" w:name="_Toc240124641"/>
      <w:bookmarkEnd w:id="1257"/>
      <w:bookmarkStart w:id="1258" w:name="_Toc225885745"/>
      <w:bookmarkEnd w:id="1258"/>
      <w:bookmarkStart w:id="1259" w:name="_Toc136263701"/>
      <w:bookmarkEnd w:id="1259"/>
    </w:p>
    <w:p w14:paraId="17ED3357">
      <w:pPr>
        <w:pStyle w:val="86"/>
        <w:rPr>
          <w:color w:val="000000" w:themeColor="text1"/>
          <w14:textFill>
            <w14:solidFill>
              <w14:schemeClr w14:val="tx1"/>
            </w14:solidFill>
          </w14:textFill>
        </w:rPr>
      </w:pPr>
      <w:bookmarkStart w:id="1260" w:name="_Toc225885746"/>
      <w:bookmarkEnd w:id="1260"/>
      <w:bookmarkStart w:id="1261" w:name="_Toc136263702"/>
      <w:bookmarkEnd w:id="1261"/>
      <w:bookmarkStart w:id="1262" w:name="_Toc240124642"/>
      <w:bookmarkEnd w:id="1262"/>
    </w:p>
    <w:p w14:paraId="17ED3358">
      <w:pPr>
        <w:pStyle w:val="84"/>
        <w:rPr>
          <w:color w:val="000000" w:themeColor="text1"/>
          <w14:textFill>
            <w14:solidFill>
              <w14:schemeClr w14:val="tx1"/>
            </w14:solidFill>
          </w14:textFill>
        </w:rPr>
      </w:pPr>
      <w:r>
        <w:rPr>
          <w:color w:val="000000" w:themeColor="text1"/>
          <w14:textFill>
            <w14:solidFill>
              <w14:schemeClr w14:val="tx1"/>
            </w14:solidFill>
          </w14:textFill>
        </w:rPr>
        <w:br w:type="textWrapping"/>
      </w:r>
      <w:bookmarkStart w:id="1263" w:name="_Toc314487198"/>
      <w:bookmarkStart w:id="1264" w:name="_Toc240124643"/>
      <w:bookmarkStart w:id="1265" w:name="_Toc303780215"/>
      <w:bookmarkStart w:id="1266" w:name="_Toc303149804"/>
      <w:bookmarkStart w:id="1267" w:name="_Toc309649117"/>
      <w:bookmarkStart w:id="1268" w:name="_Toc314478393"/>
      <w:bookmarkStart w:id="1269" w:name="_Toc316393948"/>
      <w:bookmarkStart w:id="1270" w:name="_Toc303149838"/>
      <w:r>
        <w:rPr>
          <w:rFonts w:hint="eastAsia"/>
          <w:color w:val="000000" w:themeColor="text1"/>
          <w14:textFill>
            <w14:solidFill>
              <w14:schemeClr w14:val="tx1"/>
            </w14:solidFill>
          </w14:textFill>
        </w:rPr>
        <w:t>（规范性附录）</w:t>
      </w:r>
      <w:r>
        <w:rPr>
          <w:color w:val="000000" w:themeColor="text1"/>
          <w14:textFill>
            <w14:solidFill>
              <w14:schemeClr w14:val="tx1"/>
            </w14:solidFill>
          </w14:textFill>
        </w:rPr>
        <w:br w:type="textWrapping"/>
      </w:r>
      <w:r>
        <w:rPr>
          <w:rFonts w:hint="eastAsia"/>
          <w:color w:val="000000" w:themeColor="text1"/>
          <w14:textFill>
            <w14:solidFill>
              <w14:schemeClr w14:val="tx1"/>
            </w14:solidFill>
          </w14:textFill>
        </w:rPr>
        <w:t>3级人员重新</w:t>
      </w:r>
      <w:r>
        <w:rPr>
          <w:rFonts w:hint="eastAsia" w:hAnsi="Arial"/>
          <w:color w:val="000000" w:themeColor="text1"/>
          <w14:textFill>
            <w14:solidFill>
              <w14:schemeClr w14:val="tx1"/>
            </w14:solidFill>
          </w14:textFill>
        </w:rPr>
        <w:t>认证</w:t>
      </w:r>
      <w:r>
        <w:rPr>
          <w:rFonts w:hint="eastAsia"/>
          <w:color w:val="000000" w:themeColor="text1"/>
          <w14:textFill>
            <w14:solidFill>
              <w14:schemeClr w14:val="tx1"/>
            </w14:solidFill>
          </w14:textFill>
        </w:rPr>
        <w:t>学分体系</w:t>
      </w:r>
      <w:bookmarkEnd w:id="1263"/>
      <w:bookmarkEnd w:id="1264"/>
      <w:bookmarkEnd w:id="1265"/>
      <w:bookmarkEnd w:id="1266"/>
      <w:bookmarkEnd w:id="1267"/>
      <w:bookmarkEnd w:id="1268"/>
      <w:bookmarkEnd w:id="1269"/>
      <w:bookmarkEnd w:id="1270"/>
    </w:p>
    <w:p w14:paraId="17ED3359">
      <w:pPr>
        <w:pStyle w:val="102"/>
        <w:spacing w:before="312" w:after="312"/>
        <w:rPr>
          <w:color w:val="000000" w:themeColor="text1"/>
          <w14:textFill>
            <w14:solidFill>
              <w14:schemeClr w14:val="tx1"/>
            </w14:solidFill>
          </w14:textFill>
        </w:rPr>
      </w:pPr>
      <w:bookmarkStart w:id="1271" w:name="_Toc136263704"/>
      <w:bookmarkStart w:id="1272" w:name="_Toc240124644"/>
      <w:bookmarkStart w:id="1273" w:name="_Toc225885748"/>
      <w:bookmarkStart w:id="1274" w:name="_Toc303149805"/>
      <w:r>
        <w:rPr>
          <w:rFonts w:hint="eastAsia"/>
          <w:color w:val="000000" w:themeColor="text1"/>
          <w14:textFill>
            <w14:solidFill>
              <w14:schemeClr w14:val="tx1"/>
            </w14:solidFill>
          </w14:textFill>
        </w:rPr>
        <w:t>范围</w:t>
      </w:r>
      <w:bookmarkEnd w:id="1271"/>
      <w:bookmarkEnd w:id="1272"/>
      <w:bookmarkEnd w:id="1273"/>
      <w:bookmarkEnd w:id="1274"/>
    </w:p>
    <w:p w14:paraId="17ED335A">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本附录规定了</w:t>
      </w:r>
      <w:r>
        <w:rPr>
          <w:rFonts w:hAnsi="宋体"/>
          <w:color w:val="000000" w:themeColor="text1"/>
          <w:szCs w:val="21"/>
          <w14:textFill>
            <w14:solidFill>
              <w14:schemeClr w14:val="tx1"/>
            </w14:solidFill>
          </w14:textFill>
        </w:rPr>
        <w:t>NDT</w:t>
      </w:r>
      <w:r>
        <w:rPr>
          <w:rFonts w:hint="eastAsia"/>
          <w:color w:val="000000" w:themeColor="text1"/>
          <w14:textFill>
            <w14:solidFill>
              <w14:schemeClr w14:val="tx1"/>
            </w14:solidFill>
          </w14:textFill>
        </w:rPr>
        <w:t>3级人员</w:t>
      </w:r>
      <w:r>
        <w:rPr>
          <w:rFonts w:hint="eastAsia" w:hAnsi="Arial"/>
          <w:color w:val="000000" w:themeColor="text1"/>
          <w14:textFill>
            <w14:solidFill>
              <w14:schemeClr w14:val="tx1"/>
            </w14:solidFill>
          </w14:textFill>
        </w:rPr>
        <w:t>使用学分体系获得</w:t>
      </w:r>
      <w:r>
        <w:rPr>
          <w:rFonts w:hint="eastAsia"/>
          <w:color w:val="000000" w:themeColor="text1"/>
          <w14:textFill>
            <w14:solidFill>
              <w14:schemeClr w14:val="tx1"/>
            </w14:solidFill>
          </w14:textFill>
        </w:rPr>
        <w:t>重新</w:t>
      </w:r>
      <w:r>
        <w:rPr>
          <w:rFonts w:hint="eastAsia" w:hAnsi="Arial"/>
          <w:color w:val="000000" w:themeColor="text1"/>
          <w14:textFill>
            <w14:solidFill>
              <w14:schemeClr w14:val="tx1"/>
            </w14:solidFill>
          </w14:textFill>
        </w:rPr>
        <w:t>认证</w:t>
      </w:r>
      <w:r>
        <w:rPr>
          <w:rFonts w:hint="eastAsia"/>
          <w:color w:val="000000" w:themeColor="text1"/>
          <w14:textFill>
            <w14:solidFill>
              <w14:schemeClr w14:val="tx1"/>
            </w14:solidFill>
          </w14:textFill>
        </w:rPr>
        <w:t>的要求。</w:t>
      </w:r>
    </w:p>
    <w:p w14:paraId="17ED335B">
      <w:pPr>
        <w:pStyle w:val="24"/>
        <w:rPr>
          <w:color w:val="000000" w:themeColor="text1"/>
          <w14:textFill>
            <w14:solidFill>
              <w14:schemeClr w14:val="tx1"/>
            </w14:solidFill>
          </w14:textFill>
        </w:rPr>
      </w:pPr>
      <w:r>
        <w:rPr>
          <w:rFonts w:hint="eastAsia"/>
          <w:color w:val="000000" w:themeColor="text1"/>
          <w14:textFill>
            <w14:solidFill>
              <w14:schemeClr w14:val="tx1"/>
            </w14:solidFill>
          </w14:textFill>
        </w:rPr>
        <w:t>本附录仅适用于在重新</w:t>
      </w:r>
      <w:r>
        <w:rPr>
          <w:rFonts w:hint="eastAsia" w:hAnsi="Arial"/>
          <w:color w:val="000000" w:themeColor="text1"/>
          <w14:textFill>
            <w14:solidFill>
              <w14:schemeClr w14:val="tx1"/>
            </w14:solidFill>
          </w14:textFill>
        </w:rPr>
        <w:t>认</w:t>
      </w:r>
      <w:r>
        <w:rPr>
          <w:rFonts w:hint="eastAsia" w:hAnsi="Arial"/>
          <w:color w:val="0000FF"/>
        </w:rPr>
        <w:t>证</w:t>
      </w:r>
      <w:r>
        <w:rPr>
          <w:rFonts w:hint="eastAsia"/>
          <w:color w:val="0000FF"/>
        </w:rPr>
        <w:t>时持</w:t>
      </w:r>
      <w:r>
        <w:rPr>
          <w:rFonts w:hint="eastAsia"/>
          <w:color w:val="000000" w:themeColor="text1"/>
          <w14:textFill>
            <w14:solidFill>
              <w14:schemeClr w14:val="tx1"/>
            </w14:solidFill>
          </w14:textFill>
        </w:rPr>
        <w:t>有有效3级证书的人员。</w:t>
      </w:r>
    </w:p>
    <w:p w14:paraId="17ED335C">
      <w:pPr>
        <w:pStyle w:val="102"/>
        <w:spacing w:before="312" w:after="312"/>
        <w:rPr>
          <w:color w:val="000000" w:themeColor="text1"/>
          <w14:textFill>
            <w14:solidFill>
              <w14:schemeClr w14:val="tx1"/>
            </w14:solidFill>
          </w14:textFill>
        </w:rPr>
      </w:pPr>
      <w:bookmarkStart w:id="1275" w:name="_Toc136263705"/>
      <w:bookmarkStart w:id="1276" w:name="_Toc303149806"/>
      <w:bookmarkStart w:id="1277" w:name="_Toc225885749"/>
      <w:bookmarkStart w:id="1278" w:name="_Toc240124645"/>
      <w:r>
        <w:rPr>
          <w:rFonts w:hint="eastAsia"/>
          <w:color w:val="000000" w:themeColor="text1"/>
          <w14:textFill>
            <w14:solidFill>
              <w14:schemeClr w14:val="tx1"/>
            </w14:solidFill>
          </w14:textFill>
        </w:rPr>
        <w:t>要求</w:t>
      </w:r>
      <w:bookmarkEnd w:id="1275"/>
      <w:bookmarkEnd w:id="1276"/>
      <w:bookmarkEnd w:id="1277"/>
      <w:bookmarkEnd w:id="1278"/>
    </w:p>
    <w:p w14:paraId="17ED335D">
      <w:pPr>
        <w:ind w:firstLine="420" w:firstLineChars="200"/>
      </w:pPr>
      <w:bookmarkStart w:id="1279" w:name="_Toc62027888"/>
      <w:bookmarkStart w:id="1280" w:name="_Toc280780607"/>
      <w:bookmarkStart w:id="1281" w:name="_Toc84302507"/>
      <w:bookmarkStart w:id="1282" w:name="_Toc302635540"/>
      <w:bookmarkStart w:id="1283" w:name="_Toc61427764"/>
      <w:bookmarkStart w:id="1284" w:name="_Toc61236794"/>
      <w:bookmarkStart w:id="1285" w:name="_Toc65300362"/>
      <w:bookmarkStart w:id="1286" w:name="_Toc50624536"/>
      <w:bookmarkStart w:id="1287" w:name="_Toc302565763"/>
      <w:bookmarkStart w:id="1288" w:name="_Toc303069611"/>
      <w:bookmarkStart w:id="1289" w:name="_Toc136263706"/>
      <w:bookmarkStart w:id="1290" w:name="_Toc50634246"/>
      <w:bookmarkStart w:id="1291" w:name="_Toc289788838"/>
      <w:bookmarkStart w:id="1292" w:name="_Toc50522298"/>
      <w:r>
        <w:rPr>
          <w:rFonts w:hint="eastAsia"/>
        </w:rPr>
        <w:t>在认证到期之前，应至少提前</w:t>
      </w:r>
      <w:r>
        <w:t>14</w:t>
      </w:r>
      <w:r>
        <w:rPr>
          <w:rFonts w:hint="eastAsia"/>
        </w:rPr>
        <w:t>天将重新认证</w:t>
      </w:r>
      <w:r>
        <w:rPr>
          <w:rFonts w:hint="eastAsia"/>
          <w:color w:val="0000FF"/>
        </w:rPr>
        <w:t>证明文件</w:t>
      </w:r>
      <w:r>
        <w:rPr>
          <w:rFonts w:hint="eastAsia"/>
        </w:rPr>
        <w:t>提交给责任</w:t>
      </w:r>
      <w:r>
        <w:t>3</w:t>
      </w:r>
      <w:r>
        <w:rPr>
          <w:rFonts w:hint="eastAsia"/>
        </w:rPr>
        <w:t>级人员或</w:t>
      </w:r>
      <w:r>
        <w:rPr>
          <w:rFonts w:hint="eastAsia"/>
          <w:lang w:eastAsia="zh-CN"/>
        </w:rPr>
        <w:t>中国民用航空维修协会无损检测人员资格鉴定专业委员会</w:t>
      </w:r>
      <w:r>
        <w:rPr>
          <w:rFonts w:hint="eastAsia"/>
        </w:rPr>
        <w:t>认证的培训机构。</w:t>
      </w:r>
      <w:r>
        <w:rPr>
          <w:rFonts w:hint="eastAsia"/>
          <w:color w:val="0000FF"/>
        </w:rPr>
        <w:t>责任３级人员应直接向相关的管理机构、</w:t>
      </w:r>
      <w:r>
        <w:rPr>
          <w:rFonts w:hint="eastAsia"/>
          <w:lang w:eastAsia="zh-CN"/>
        </w:rPr>
        <w:t>中国民用航空维修协会无损检测人员资格鉴定专业委员会</w:t>
      </w:r>
      <w:r>
        <w:t>认证的培训机构</w:t>
      </w:r>
      <w:r>
        <w:rPr>
          <w:rFonts w:hint="eastAsia"/>
          <w:color w:val="0000FF"/>
        </w:rPr>
        <w:t>或其雇主提交重新认证的申请以供指定的３级人员评审</w:t>
      </w:r>
      <w:r>
        <w:rPr>
          <w:rFonts w:hint="eastAsia"/>
        </w:rPr>
        <w:t>。</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Start w:id="1366" w:name="_GoBack"/>
      <w:bookmarkEnd w:id="1366"/>
    </w:p>
    <w:p w14:paraId="4336CE74">
      <w:pPr>
        <w:ind w:firstLine="420" w:firstLineChars="200"/>
      </w:pPr>
      <w:r>
        <w:rPr>
          <w:rFonts w:hint="eastAsia"/>
        </w:rPr>
        <w:t>在提出重新认证前５年内，申请人应至少有</w:t>
      </w:r>
      <w:r>
        <w:t>36</w:t>
      </w:r>
      <w:r>
        <w:rPr>
          <w:rFonts w:hint="eastAsia"/>
        </w:rPr>
        <w:t>个月（其中至少有</w:t>
      </w:r>
      <w:r>
        <w:t>12</w:t>
      </w:r>
      <w:r>
        <w:rPr>
          <w:rFonts w:hint="eastAsia"/>
        </w:rPr>
        <w:t>个月发生在最近的</w:t>
      </w:r>
      <w:r>
        <w:t>24</w:t>
      </w:r>
      <w:r>
        <w:rPr>
          <w:rFonts w:hint="eastAsia"/>
        </w:rPr>
        <w:t>个月当中）在其雇主单位履行了所申请重新认证方法的</w:t>
      </w:r>
      <w:r>
        <w:t>3</w:t>
      </w:r>
      <w:r>
        <w:rPr>
          <w:rFonts w:hint="eastAsia"/>
        </w:rPr>
        <w:t>级职责。关于履行</w:t>
      </w:r>
      <w:r>
        <w:t>3</w:t>
      </w:r>
      <w:r>
        <w:rPr>
          <w:rFonts w:hint="eastAsia"/>
        </w:rPr>
        <w:t>级人员职责的有效月数量，可按月累积而不必按连续月数计算。</w:t>
      </w:r>
    </w:p>
    <w:p w14:paraId="5EA7BA09">
      <w:pPr>
        <w:ind w:firstLine="420" w:firstLineChars="200"/>
      </w:pPr>
      <w:r>
        <w:rPr>
          <w:rFonts w:hint="eastAsia"/>
        </w:rPr>
        <w:t>应提供履行该方法</w:t>
      </w:r>
      <w:r>
        <w:t>3</w:t>
      </w:r>
      <w:r>
        <w:rPr>
          <w:rFonts w:hint="eastAsia"/>
        </w:rPr>
        <w:t>级职责的连续性证明，申请人需提供</w:t>
      </w:r>
      <w:r>
        <w:t>8</w:t>
      </w:r>
      <w:r>
        <w:rPr>
          <w:rFonts w:hint="eastAsia"/>
        </w:rPr>
        <w:t>项可被证实的、在其</w:t>
      </w:r>
      <w:r>
        <w:t>5</w:t>
      </w:r>
      <w:r>
        <w:rPr>
          <w:rFonts w:hint="eastAsia"/>
        </w:rPr>
        <w:t>年认证有效期内履行所申请方法</w:t>
      </w:r>
      <w:r>
        <w:t>3</w:t>
      </w:r>
      <w:r>
        <w:rPr>
          <w:rFonts w:hint="eastAsia"/>
        </w:rPr>
        <w:t>级职责的工作</w:t>
      </w:r>
      <w:r>
        <w:rPr>
          <w:rFonts w:hint="eastAsia"/>
          <w:color w:val="0000FF"/>
        </w:rPr>
        <w:t>任务</w:t>
      </w:r>
      <w:r>
        <w:rPr>
          <w:rFonts w:hint="eastAsia"/>
        </w:rPr>
        <w:t>。</w:t>
      </w:r>
    </w:p>
    <w:p w14:paraId="0D4DE382">
      <w:pPr>
        <w:ind w:firstLine="420" w:firstLineChars="200"/>
        <w:rPr>
          <w:color w:val="0000FF"/>
        </w:rPr>
      </w:pPr>
      <w:r>
        <w:rPr>
          <w:rFonts w:hint="eastAsia"/>
          <w:color w:val="0000FF"/>
        </w:rPr>
        <w:t>备注：</w:t>
      </w:r>
      <w:r>
        <w:rPr>
          <w:color w:val="0000FF"/>
        </w:rPr>
        <w:t>3</w:t>
      </w:r>
      <w:r>
        <w:rPr>
          <w:rFonts w:hint="eastAsia"/>
          <w:color w:val="0000FF"/>
        </w:rPr>
        <w:t>级任务指需要</w:t>
      </w:r>
      <w:r>
        <w:rPr>
          <w:color w:val="0000FF"/>
        </w:rPr>
        <w:t>3</w:t>
      </w:r>
      <w:r>
        <w:rPr>
          <w:rFonts w:hint="eastAsia"/>
          <w:color w:val="0000FF"/>
        </w:rPr>
        <w:t>级认证资格的工作，例如：批准</w:t>
      </w:r>
      <w:r>
        <w:rPr>
          <w:color w:val="0000FF"/>
        </w:rPr>
        <w:t>NDT</w:t>
      </w:r>
      <w:r>
        <w:rPr>
          <w:rFonts w:hint="eastAsia"/>
          <w:color w:val="0000FF"/>
        </w:rPr>
        <w:t>作业指导书或工艺规程。</w:t>
      </w:r>
    </w:p>
    <w:p w14:paraId="015B01DB">
      <w:pPr>
        <w:ind w:firstLine="420" w:firstLineChars="200"/>
      </w:pPr>
      <w:r>
        <w:rPr>
          <w:rFonts w:hint="eastAsia"/>
        </w:rPr>
        <w:t>无论取得多少个认证</w:t>
      </w:r>
      <w:r>
        <w:t>,</w:t>
      </w:r>
      <w:r>
        <w:rPr>
          <w:rFonts w:hint="eastAsia"/>
        </w:rPr>
        <w:t>重新认证的申请人应通过参加表</w:t>
      </w:r>
      <w:r>
        <w:t>A.1</w:t>
      </w:r>
      <w:r>
        <w:rPr>
          <w:rFonts w:hint="eastAsia"/>
        </w:rPr>
        <w:t>所列出的活动</w:t>
      </w:r>
      <w:r>
        <w:t>,</w:t>
      </w:r>
      <w:r>
        <w:rPr>
          <w:rFonts w:hint="eastAsia"/>
        </w:rPr>
        <w:t>在</w:t>
      </w:r>
      <w:r>
        <w:t>5</w:t>
      </w:r>
      <w:r>
        <w:rPr>
          <w:rFonts w:hint="eastAsia"/>
        </w:rPr>
        <w:t>年认证有效期内累积至少</w:t>
      </w:r>
      <w:r>
        <w:t>24</w:t>
      </w:r>
      <w:r>
        <w:rPr>
          <w:rFonts w:hint="eastAsia"/>
        </w:rPr>
        <w:t>分</w:t>
      </w:r>
      <w:r>
        <w:t>,</w:t>
      </w:r>
      <w:r>
        <w:rPr>
          <w:rFonts w:hint="eastAsia"/>
        </w:rPr>
        <w:t>以证明申请人与当前的</w:t>
      </w:r>
      <w:r>
        <w:t>NDT</w:t>
      </w:r>
      <w:r>
        <w:rPr>
          <w:rFonts w:hint="eastAsia"/>
        </w:rPr>
        <w:t>检测技术同步。</w:t>
      </w:r>
    </w:p>
    <w:p w14:paraId="093F3EFA">
      <w:pPr>
        <w:ind w:firstLine="420" w:firstLineChars="200"/>
      </w:pPr>
      <w:r>
        <w:rPr>
          <w:rFonts w:hint="eastAsia"/>
          <w:color w:val="0000FF"/>
        </w:rPr>
        <w:t>附录</w:t>
      </w:r>
      <w:r>
        <w:rPr>
          <w:color w:val="0000FF"/>
        </w:rPr>
        <w:t>A</w:t>
      </w:r>
      <w:r>
        <w:rPr>
          <w:rFonts w:hint="eastAsia"/>
          <w:color w:val="0000FF"/>
        </w:rPr>
        <w:t>中活动证明文件的批准应由</w:t>
      </w:r>
      <w:r>
        <w:rPr>
          <w:rFonts w:hint="eastAsia"/>
          <w:color w:val="0000FF"/>
          <w:lang w:eastAsia="zh-CN"/>
        </w:rPr>
        <w:t>中国民用航空维修协会无损检测人员资格鉴定专业委员会</w:t>
      </w:r>
      <w:r>
        <w:rPr>
          <w:rFonts w:hint="eastAsia"/>
          <w:color w:val="0000FF"/>
        </w:rPr>
        <w:t>或责任</w:t>
      </w:r>
      <w:r>
        <w:rPr>
          <w:color w:val="0000FF"/>
        </w:rPr>
        <w:t>3</w:t>
      </w:r>
      <w:r>
        <w:rPr>
          <w:rFonts w:hint="eastAsia"/>
          <w:color w:val="0000FF"/>
        </w:rPr>
        <w:t>级人员按照雇主书面实施规程的规定判定并备案。证明文件可包括备忘录或报告、委员会输出文件草案、或申请人对此类文件提交的正式书面意见。责任</w:t>
      </w:r>
      <w:r>
        <w:rPr>
          <w:color w:val="0000FF"/>
        </w:rPr>
        <w:t>3</w:t>
      </w:r>
      <w:r>
        <w:rPr>
          <w:rFonts w:hint="eastAsia"/>
          <w:color w:val="0000FF"/>
        </w:rPr>
        <w:t>级人员的重新认证是否采用附录</w:t>
      </w:r>
      <w:r>
        <w:rPr>
          <w:color w:val="0000FF"/>
        </w:rPr>
        <w:t>A</w:t>
      </w:r>
      <w:r>
        <w:rPr>
          <w:rFonts w:hint="eastAsia"/>
          <w:color w:val="0000FF"/>
        </w:rPr>
        <w:t>应由雇主确定并备案。</w:t>
      </w:r>
      <w:r>
        <w:rPr>
          <w:rFonts w:hint="eastAsia"/>
        </w:rPr>
        <w:t>在</w:t>
      </w:r>
      <w:r>
        <w:t>5</w:t>
      </w:r>
      <w:r>
        <w:rPr>
          <w:rFonts w:hint="eastAsia"/>
        </w:rPr>
        <w:t>年内单一项目仅能作为一次积分活动。</w:t>
      </w:r>
    </w:p>
    <w:p w14:paraId="5C7D0467">
      <w:pPr>
        <w:pStyle w:val="104"/>
        <w:numPr>
          <w:ilvl w:val="0"/>
          <w:numId w:val="0"/>
        </w:numPr>
        <w:rPr>
          <w:color w:val="000000" w:themeColor="text1"/>
          <w14:textFill>
            <w14:solidFill>
              <w14:schemeClr w14:val="tx1"/>
            </w14:solidFill>
          </w14:textFill>
        </w:rPr>
      </w:pPr>
    </w:p>
    <w:p w14:paraId="14AEF82A">
      <w:pPr>
        <w:pStyle w:val="104"/>
        <w:numPr>
          <w:ilvl w:val="0"/>
          <w:numId w:val="0"/>
        </w:numPr>
        <w:rPr>
          <w:color w:val="000000" w:themeColor="text1"/>
          <w14:textFill>
            <w14:solidFill>
              <w14:schemeClr w14:val="tx1"/>
            </w14:solidFill>
          </w14:textFill>
        </w:rPr>
      </w:pPr>
    </w:p>
    <w:p w14:paraId="5F26A6B3">
      <w:pPr>
        <w:pStyle w:val="104"/>
        <w:numPr>
          <w:ilvl w:val="0"/>
          <w:numId w:val="0"/>
        </w:numPr>
        <w:rPr>
          <w:color w:val="000000" w:themeColor="text1"/>
          <w14:textFill>
            <w14:solidFill>
              <w14:schemeClr w14:val="tx1"/>
            </w14:solidFill>
          </w14:textFill>
        </w:rPr>
      </w:pPr>
    </w:p>
    <w:p w14:paraId="11D3E270">
      <w:pPr>
        <w:pStyle w:val="104"/>
        <w:numPr>
          <w:ilvl w:val="0"/>
          <w:numId w:val="0"/>
        </w:numPr>
        <w:rPr>
          <w:color w:val="000000" w:themeColor="text1"/>
          <w14:textFill>
            <w14:solidFill>
              <w14:schemeClr w14:val="tx1"/>
            </w14:solidFill>
          </w14:textFill>
        </w:rPr>
      </w:pPr>
    </w:p>
    <w:p w14:paraId="077CDCFE">
      <w:pPr>
        <w:pStyle w:val="104"/>
        <w:numPr>
          <w:ilvl w:val="0"/>
          <w:numId w:val="0"/>
        </w:numPr>
        <w:rPr>
          <w:color w:val="000000" w:themeColor="text1"/>
          <w14:textFill>
            <w14:solidFill>
              <w14:schemeClr w14:val="tx1"/>
            </w14:solidFill>
          </w14:textFill>
        </w:rPr>
      </w:pPr>
    </w:p>
    <w:p w14:paraId="3E9DABCD">
      <w:pPr>
        <w:pStyle w:val="104"/>
        <w:numPr>
          <w:ilvl w:val="0"/>
          <w:numId w:val="0"/>
        </w:numPr>
        <w:rPr>
          <w:color w:val="000000" w:themeColor="text1"/>
          <w14:textFill>
            <w14:solidFill>
              <w14:schemeClr w14:val="tx1"/>
            </w14:solidFill>
          </w14:textFill>
        </w:rPr>
      </w:pPr>
    </w:p>
    <w:p w14:paraId="3EC6A667">
      <w:pPr>
        <w:pStyle w:val="104"/>
        <w:numPr>
          <w:ilvl w:val="0"/>
          <w:numId w:val="0"/>
        </w:numPr>
        <w:rPr>
          <w:color w:val="000000" w:themeColor="text1"/>
          <w14:textFill>
            <w14:solidFill>
              <w14:schemeClr w14:val="tx1"/>
            </w14:solidFill>
          </w14:textFill>
        </w:rPr>
      </w:pPr>
    </w:p>
    <w:p w14:paraId="2DCB2FE0">
      <w:pPr>
        <w:pStyle w:val="104"/>
        <w:numPr>
          <w:ilvl w:val="0"/>
          <w:numId w:val="0"/>
        </w:numPr>
        <w:rPr>
          <w:color w:val="000000" w:themeColor="text1"/>
          <w14:textFill>
            <w14:solidFill>
              <w14:schemeClr w14:val="tx1"/>
            </w14:solidFill>
          </w14:textFill>
        </w:rPr>
      </w:pPr>
    </w:p>
    <w:p w14:paraId="58944102">
      <w:pPr>
        <w:pStyle w:val="104"/>
        <w:numPr>
          <w:ilvl w:val="0"/>
          <w:numId w:val="0"/>
        </w:numPr>
        <w:rPr>
          <w:color w:val="000000" w:themeColor="text1"/>
          <w14:textFill>
            <w14:solidFill>
              <w14:schemeClr w14:val="tx1"/>
            </w14:solidFill>
          </w14:textFill>
        </w:rPr>
      </w:pPr>
    </w:p>
    <w:p w14:paraId="34C7D44F">
      <w:pPr>
        <w:pStyle w:val="104"/>
        <w:numPr>
          <w:ilvl w:val="0"/>
          <w:numId w:val="0"/>
        </w:numPr>
        <w:rPr>
          <w:color w:val="000000" w:themeColor="text1"/>
          <w14:textFill>
            <w14:solidFill>
              <w14:schemeClr w14:val="tx1"/>
            </w14:solidFill>
          </w14:textFill>
        </w:rPr>
      </w:pPr>
    </w:p>
    <w:p w14:paraId="5A87047F">
      <w:pPr>
        <w:pStyle w:val="104"/>
        <w:numPr>
          <w:ilvl w:val="0"/>
          <w:numId w:val="0"/>
        </w:numPr>
        <w:rPr>
          <w:color w:val="000000" w:themeColor="text1"/>
          <w14:textFill>
            <w14:solidFill>
              <w14:schemeClr w14:val="tx1"/>
            </w14:solidFill>
          </w14:textFill>
        </w:rPr>
      </w:pPr>
    </w:p>
    <w:p w14:paraId="0E0F62CD">
      <w:pPr>
        <w:pStyle w:val="104"/>
        <w:numPr>
          <w:ilvl w:val="0"/>
          <w:numId w:val="0"/>
        </w:numPr>
        <w:rPr>
          <w:color w:val="000000" w:themeColor="text1"/>
          <w14:textFill>
            <w14:solidFill>
              <w14:schemeClr w14:val="tx1"/>
            </w14:solidFill>
          </w14:textFill>
        </w:rPr>
      </w:pPr>
    </w:p>
    <w:p w14:paraId="17ED336A">
      <w:pPr>
        <w:pStyle w:val="87"/>
        <w:numPr>
          <w:ilvl w:val="0"/>
          <w:numId w:val="0"/>
        </w:numPr>
        <w:spacing w:before="156" w:after="156"/>
        <w:rPr>
          <w:color w:val="000000" w:themeColor="text1"/>
          <w14:textFill>
            <w14:solidFill>
              <w14:schemeClr w14:val="tx1"/>
            </w14:solidFill>
          </w14:textFill>
        </w:rPr>
      </w:pPr>
      <w:r>
        <w:rPr>
          <w:color w:val="000000" w:themeColor="text1"/>
          <w14:textFill>
            <w14:solidFill>
              <w14:schemeClr w14:val="tx1"/>
            </w14:solidFill>
          </w14:textFill>
        </w:rPr>
        <w:br w:type="page"/>
      </w:r>
      <w:r>
        <w:rPr>
          <w:rFonts w:hint="eastAsia"/>
          <w:color w:val="000000" w:themeColor="text1"/>
          <w14:textFill>
            <w14:solidFill>
              <w14:schemeClr w14:val="tx1"/>
            </w14:solidFill>
          </w14:textFill>
        </w:rPr>
        <w:t>表</w:t>
      </w:r>
      <w:r>
        <w:rPr>
          <w:color w:val="000000" w:themeColor="text1"/>
          <w14:textFill>
            <w14:solidFill>
              <w14:schemeClr w14:val="tx1"/>
            </w14:solidFill>
          </w14:textFill>
        </w:rPr>
        <w:t>A</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申请NDT3级重新</w:t>
      </w:r>
      <w:r>
        <w:rPr>
          <w:rFonts w:hint="eastAsia" w:hAnsi="Arial"/>
          <w:color w:val="000000" w:themeColor="text1"/>
          <w14:textFill>
            <w14:solidFill>
              <w14:schemeClr w14:val="tx1"/>
            </w14:solidFill>
          </w14:textFill>
        </w:rPr>
        <w:t>认证</w:t>
      </w:r>
      <w:r>
        <w:rPr>
          <w:rFonts w:hint="eastAsia"/>
          <w:color w:val="000000" w:themeColor="text1"/>
          <w14:textFill>
            <w14:solidFill>
              <w14:schemeClr w14:val="tx1"/>
            </w14:solidFill>
          </w14:textFill>
        </w:rPr>
        <w:t>的</w:t>
      </w:r>
      <w:r>
        <w:rPr>
          <w:rFonts w:hint="eastAsia"/>
          <w:color w:val="0000FF"/>
        </w:rPr>
        <w:t>学分活动</w:t>
      </w:r>
    </w:p>
    <w:tbl>
      <w:tblPr>
        <w:tblStyle w:val="33"/>
        <w:tblW w:w="9493" w:type="dxa"/>
        <w:tblInd w:w="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0"/>
        <w:gridCol w:w="2280"/>
        <w:gridCol w:w="1080"/>
        <w:gridCol w:w="1483"/>
      </w:tblGrid>
      <w:tr w14:paraId="17ED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0" w:type="dxa"/>
          </w:tcPr>
          <w:p w14:paraId="17ED336B">
            <w:pPr>
              <w:spacing w:line="400" w:lineRule="exact"/>
              <w:jc w:val="center"/>
              <w:rPr>
                <w:rFonts w:hint="eastAsia" w:ascii="宋体" w:hAnsi="宋体"/>
                <w:b/>
                <w:bCs/>
                <w:color w:val="000000" w:themeColor="text1"/>
                <w:sz w:val="18"/>
                <w14:textFill>
                  <w14:solidFill>
                    <w14:schemeClr w14:val="tx1"/>
                  </w14:solidFill>
                </w14:textFill>
              </w:rPr>
            </w:pPr>
            <w:r>
              <w:rPr>
                <w:rFonts w:hint="eastAsia" w:ascii="宋体" w:hAnsi="宋体"/>
                <w:b/>
                <w:bCs/>
                <w:color w:val="000000" w:themeColor="text1"/>
                <w:sz w:val="18"/>
                <w14:textFill>
                  <w14:solidFill>
                    <w14:schemeClr w14:val="tx1"/>
                  </w14:solidFill>
                </w14:textFill>
              </w:rPr>
              <w:t>活    动</w:t>
            </w:r>
          </w:p>
        </w:tc>
        <w:tc>
          <w:tcPr>
            <w:tcW w:w="2280" w:type="dxa"/>
          </w:tcPr>
          <w:p w14:paraId="17ED336C">
            <w:pPr>
              <w:spacing w:line="400" w:lineRule="exact"/>
              <w:jc w:val="center"/>
              <w:rPr>
                <w:rFonts w:hint="eastAsia" w:ascii="宋体" w:hAnsi="宋体"/>
                <w:b/>
                <w:bCs/>
                <w:color w:val="000000" w:themeColor="text1"/>
                <w:sz w:val="18"/>
                <w14:textFill>
                  <w14:solidFill>
                    <w14:schemeClr w14:val="tx1"/>
                  </w14:solidFill>
                </w14:textFill>
              </w:rPr>
            </w:pPr>
            <w:r>
              <w:rPr>
                <w:rFonts w:hint="eastAsia" w:ascii="宋体" w:hAnsi="宋体"/>
                <w:b/>
                <w:bCs/>
                <w:color w:val="000000" w:themeColor="text1"/>
                <w:sz w:val="18"/>
                <w14:textFill>
                  <w14:solidFill>
                    <w14:schemeClr w14:val="tx1"/>
                  </w14:solidFill>
                </w14:textFill>
              </w:rPr>
              <w:t>标      准</w:t>
            </w:r>
          </w:p>
        </w:tc>
        <w:tc>
          <w:tcPr>
            <w:tcW w:w="1080" w:type="dxa"/>
          </w:tcPr>
          <w:p w14:paraId="17ED336D">
            <w:pPr>
              <w:spacing w:line="400" w:lineRule="exact"/>
              <w:jc w:val="center"/>
              <w:rPr>
                <w:rFonts w:hint="eastAsia" w:ascii="宋体" w:hAnsi="宋体"/>
                <w:b/>
                <w:bCs/>
                <w:color w:val="000000" w:themeColor="text1"/>
                <w:sz w:val="18"/>
                <w14:textFill>
                  <w14:solidFill>
                    <w14:schemeClr w14:val="tx1"/>
                  </w14:solidFill>
                </w14:textFill>
              </w:rPr>
            </w:pPr>
            <w:r>
              <w:rPr>
                <w:rFonts w:hint="eastAsia" w:ascii="宋体" w:hAnsi="宋体"/>
                <w:b/>
                <w:bCs/>
                <w:color w:val="000000" w:themeColor="text1"/>
                <w:sz w:val="18"/>
                <w14:textFill>
                  <w14:solidFill>
                    <w14:schemeClr w14:val="tx1"/>
                  </w14:solidFill>
                </w14:textFill>
              </w:rPr>
              <w:t>分 数</w:t>
            </w:r>
          </w:p>
        </w:tc>
        <w:tc>
          <w:tcPr>
            <w:tcW w:w="1483" w:type="dxa"/>
          </w:tcPr>
          <w:p w14:paraId="17ED336E">
            <w:pPr>
              <w:spacing w:line="400" w:lineRule="exact"/>
              <w:jc w:val="center"/>
              <w:rPr>
                <w:rFonts w:hint="eastAsia" w:ascii="宋体" w:hAnsi="宋体"/>
                <w:b/>
                <w:bCs/>
                <w:color w:val="000000" w:themeColor="text1"/>
                <w:sz w:val="18"/>
                <w14:textFill>
                  <w14:solidFill>
                    <w14:schemeClr w14:val="tx1"/>
                  </w14:solidFill>
                </w14:textFill>
              </w:rPr>
            </w:pPr>
            <w:r>
              <w:rPr>
                <w:rFonts w:hint="eastAsia" w:ascii="宋体" w:hAnsi="宋体"/>
                <w:b/>
                <w:bCs/>
                <w:color w:val="000000" w:themeColor="text1"/>
                <w:sz w:val="18"/>
                <w14:textFill>
                  <w14:solidFill>
                    <w14:schemeClr w14:val="tx1"/>
                  </w14:solidFill>
                </w14:textFill>
              </w:rPr>
              <w:t>5年内最多分数</w:t>
            </w:r>
          </w:p>
        </w:tc>
      </w:tr>
      <w:tr w14:paraId="17ED3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50" w:type="dxa"/>
            <w:vMerge w:val="restart"/>
            <w:vAlign w:val="center"/>
          </w:tcPr>
          <w:p w14:paraId="17ED3370">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独著或合著NDT技术论文、文献或白皮书</w:t>
            </w:r>
          </w:p>
        </w:tc>
        <w:tc>
          <w:tcPr>
            <w:tcW w:w="2280" w:type="dxa"/>
          </w:tcPr>
          <w:p w14:paraId="17ED3371">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独著</w:t>
            </w:r>
          </w:p>
        </w:tc>
        <w:tc>
          <w:tcPr>
            <w:tcW w:w="1080" w:type="dxa"/>
          </w:tcPr>
          <w:p w14:paraId="17ED3372">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8</w:t>
            </w:r>
          </w:p>
        </w:tc>
        <w:tc>
          <w:tcPr>
            <w:tcW w:w="1483" w:type="dxa"/>
            <w:vMerge w:val="restart"/>
            <w:vAlign w:val="center"/>
          </w:tcPr>
          <w:p w14:paraId="17ED3373">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8</w:t>
            </w:r>
          </w:p>
        </w:tc>
      </w:tr>
      <w:tr w14:paraId="17ED3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50" w:type="dxa"/>
            <w:vMerge w:val="continue"/>
          </w:tcPr>
          <w:p w14:paraId="17ED3375">
            <w:pPr>
              <w:spacing w:line="400" w:lineRule="exact"/>
              <w:rPr>
                <w:rFonts w:hint="eastAsia" w:ascii="宋体" w:hAnsi="宋体"/>
                <w:color w:val="000000" w:themeColor="text1"/>
                <w:sz w:val="18"/>
                <w14:textFill>
                  <w14:solidFill>
                    <w14:schemeClr w14:val="tx1"/>
                  </w14:solidFill>
                </w14:textFill>
              </w:rPr>
            </w:pPr>
          </w:p>
        </w:tc>
        <w:tc>
          <w:tcPr>
            <w:tcW w:w="2280" w:type="dxa"/>
          </w:tcPr>
          <w:p w14:paraId="17ED3376">
            <w:pPr>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合著</w:t>
            </w:r>
          </w:p>
        </w:tc>
        <w:tc>
          <w:tcPr>
            <w:tcW w:w="1080" w:type="dxa"/>
          </w:tcPr>
          <w:p w14:paraId="17ED3377">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4</w:t>
            </w:r>
          </w:p>
        </w:tc>
        <w:tc>
          <w:tcPr>
            <w:tcW w:w="1483" w:type="dxa"/>
            <w:vMerge w:val="continue"/>
          </w:tcPr>
          <w:p w14:paraId="17ED3378">
            <w:pPr>
              <w:spacing w:line="400" w:lineRule="exact"/>
              <w:jc w:val="center"/>
              <w:rPr>
                <w:rFonts w:hint="eastAsia" w:ascii="宋体" w:hAnsi="宋体"/>
                <w:color w:val="000000" w:themeColor="text1"/>
                <w:sz w:val="18"/>
                <w14:textFill>
                  <w14:solidFill>
                    <w14:schemeClr w14:val="tx1"/>
                  </w14:solidFill>
                </w14:textFill>
              </w:rPr>
            </w:pPr>
          </w:p>
        </w:tc>
      </w:tr>
      <w:tr w14:paraId="17ED3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0" w:type="dxa"/>
          </w:tcPr>
          <w:p w14:paraId="17ED337A">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编写、合编公司或行业NDT规范或标准</w:t>
            </w:r>
          </w:p>
        </w:tc>
        <w:tc>
          <w:tcPr>
            <w:tcW w:w="2280" w:type="dxa"/>
          </w:tcPr>
          <w:p w14:paraId="17ED337B">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每项规范或标准</w:t>
            </w:r>
          </w:p>
        </w:tc>
        <w:tc>
          <w:tcPr>
            <w:tcW w:w="1080" w:type="dxa"/>
          </w:tcPr>
          <w:p w14:paraId="17ED337C">
            <w:pPr>
              <w:spacing w:line="400" w:lineRule="exact"/>
              <w:jc w:val="center"/>
              <w:rPr>
                <w:rFonts w:hint="eastAsia" w:ascii="宋体" w:hAnsi="宋体"/>
                <w:color w:val="000000" w:themeColor="text1"/>
                <w:sz w:val="18"/>
                <w14:textFill>
                  <w14:solidFill>
                    <w14:schemeClr w14:val="tx1"/>
                  </w14:solidFill>
                </w14:textFill>
              </w:rPr>
            </w:pPr>
            <w:r>
              <w:rPr>
                <w:rFonts w:ascii="宋体" w:hAnsi="宋体"/>
                <w:color w:val="000000" w:themeColor="text1"/>
                <w:sz w:val="18"/>
                <w14:textFill>
                  <w14:solidFill>
                    <w14:schemeClr w14:val="tx1"/>
                  </w14:solidFill>
                </w14:textFill>
              </w:rPr>
              <w:t>2</w:t>
            </w:r>
          </w:p>
        </w:tc>
        <w:tc>
          <w:tcPr>
            <w:tcW w:w="1483" w:type="dxa"/>
          </w:tcPr>
          <w:p w14:paraId="17ED337D">
            <w:pPr>
              <w:spacing w:line="400" w:lineRule="exact"/>
              <w:jc w:val="center"/>
              <w:rPr>
                <w:rFonts w:hint="eastAsia" w:ascii="宋体" w:hAnsi="宋体"/>
                <w:color w:val="000000" w:themeColor="text1"/>
                <w:sz w:val="18"/>
                <w14:textFill>
                  <w14:solidFill>
                    <w14:schemeClr w14:val="tx1"/>
                  </w14:solidFill>
                </w14:textFill>
              </w:rPr>
            </w:pPr>
            <w:r>
              <w:rPr>
                <w:rFonts w:ascii="宋体" w:hAnsi="宋体"/>
                <w:color w:val="000000" w:themeColor="text1"/>
                <w:sz w:val="18"/>
                <w14:textFill>
                  <w14:solidFill>
                    <w14:schemeClr w14:val="tx1"/>
                  </w14:solidFill>
                </w14:textFill>
              </w:rPr>
              <w:t>8</w:t>
            </w:r>
          </w:p>
        </w:tc>
      </w:tr>
      <w:tr w14:paraId="17ED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50" w:type="dxa"/>
            <w:vMerge w:val="restart"/>
          </w:tcPr>
          <w:p w14:paraId="17ED337F">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参加技术会议、学术论坛、学会或专业组会议，组织者是：</w:t>
            </w:r>
          </w:p>
          <w:p w14:paraId="17ED3380">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a)国家或国际的NDT学会、技术协会</w:t>
            </w:r>
          </w:p>
          <w:p w14:paraId="17ED3381">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b)由多个部门人员组成的NDT小组</w:t>
            </w:r>
          </w:p>
        </w:tc>
        <w:tc>
          <w:tcPr>
            <w:tcW w:w="2280" w:type="dxa"/>
          </w:tcPr>
          <w:p w14:paraId="17ED3382">
            <w:pPr>
              <w:spacing w:line="400" w:lineRule="exact"/>
              <w:rPr>
                <w:rFonts w:hint="eastAsia" w:ascii="宋体" w:hAnsi="宋体"/>
                <w:color w:val="0000FF"/>
                <w:sz w:val="18"/>
              </w:rPr>
            </w:pPr>
            <w:r>
              <w:rPr>
                <w:rFonts w:hint="eastAsia" w:ascii="宋体" w:hAnsi="宋体"/>
                <w:color w:val="0000FF"/>
                <w:sz w:val="18"/>
              </w:rPr>
              <w:t>1天或1次</w:t>
            </w:r>
          </w:p>
        </w:tc>
        <w:tc>
          <w:tcPr>
            <w:tcW w:w="1080" w:type="dxa"/>
          </w:tcPr>
          <w:p w14:paraId="17ED3383">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1</w:t>
            </w:r>
          </w:p>
        </w:tc>
        <w:tc>
          <w:tcPr>
            <w:tcW w:w="1483" w:type="dxa"/>
            <w:vMerge w:val="restart"/>
            <w:vAlign w:val="center"/>
          </w:tcPr>
          <w:p w14:paraId="17ED3384">
            <w:pPr>
              <w:spacing w:line="400" w:lineRule="exact"/>
              <w:jc w:val="center"/>
              <w:rPr>
                <w:rFonts w:hint="eastAsia" w:ascii="宋体" w:hAnsi="宋体"/>
                <w:color w:val="000000" w:themeColor="text1"/>
                <w:sz w:val="18"/>
                <w14:textFill>
                  <w14:solidFill>
                    <w14:schemeClr w14:val="tx1"/>
                  </w14:solidFill>
                </w14:textFill>
              </w:rPr>
            </w:pPr>
            <w:r>
              <w:rPr>
                <w:rFonts w:ascii="宋体" w:hAnsi="宋体"/>
                <w:color w:val="000000" w:themeColor="text1"/>
                <w:sz w:val="18"/>
                <w14:textFill>
                  <w14:solidFill>
                    <w14:schemeClr w14:val="tx1"/>
                  </w14:solidFill>
                </w14:textFill>
              </w:rPr>
              <w:t>8</w:t>
            </w:r>
          </w:p>
        </w:tc>
      </w:tr>
      <w:tr w14:paraId="17ED3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50" w:type="dxa"/>
            <w:vMerge w:val="continue"/>
          </w:tcPr>
          <w:p w14:paraId="17ED3386">
            <w:pPr>
              <w:spacing w:line="400" w:lineRule="exact"/>
              <w:rPr>
                <w:rFonts w:hint="eastAsia" w:ascii="宋体" w:hAnsi="宋体"/>
                <w:color w:val="000000" w:themeColor="text1"/>
                <w:sz w:val="18"/>
                <w14:textFill>
                  <w14:solidFill>
                    <w14:schemeClr w14:val="tx1"/>
                  </w14:solidFill>
                </w14:textFill>
              </w:rPr>
            </w:pPr>
          </w:p>
        </w:tc>
        <w:tc>
          <w:tcPr>
            <w:tcW w:w="2280" w:type="dxa"/>
          </w:tcPr>
          <w:p w14:paraId="17ED3387">
            <w:pPr>
              <w:spacing w:line="400" w:lineRule="exact"/>
              <w:rPr>
                <w:rFonts w:hint="eastAsia" w:ascii="宋体" w:hAnsi="宋体"/>
                <w:color w:val="0000FF"/>
                <w:sz w:val="18"/>
              </w:rPr>
            </w:pPr>
            <w:r>
              <w:rPr>
                <w:rFonts w:hint="eastAsia" w:ascii="宋体" w:hAnsi="宋体"/>
                <w:color w:val="0000FF"/>
                <w:sz w:val="18"/>
              </w:rPr>
              <w:t>2天</w:t>
            </w:r>
          </w:p>
        </w:tc>
        <w:tc>
          <w:tcPr>
            <w:tcW w:w="1080" w:type="dxa"/>
          </w:tcPr>
          <w:p w14:paraId="17ED3388">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2</w:t>
            </w:r>
          </w:p>
        </w:tc>
        <w:tc>
          <w:tcPr>
            <w:tcW w:w="1483" w:type="dxa"/>
            <w:vMerge w:val="continue"/>
          </w:tcPr>
          <w:p w14:paraId="17ED3389">
            <w:pPr>
              <w:spacing w:line="400" w:lineRule="exact"/>
              <w:jc w:val="center"/>
              <w:rPr>
                <w:rFonts w:hint="eastAsia" w:ascii="宋体" w:hAnsi="宋体"/>
                <w:color w:val="000000" w:themeColor="text1"/>
                <w:sz w:val="18"/>
                <w14:textFill>
                  <w14:solidFill>
                    <w14:schemeClr w14:val="tx1"/>
                  </w14:solidFill>
                </w14:textFill>
              </w:rPr>
            </w:pPr>
          </w:p>
        </w:tc>
      </w:tr>
      <w:tr w14:paraId="17ED3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50" w:type="dxa"/>
            <w:vMerge w:val="continue"/>
          </w:tcPr>
          <w:p w14:paraId="17ED338B">
            <w:pPr>
              <w:spacing w:line="400" w:lineRule="exact"/>
              <w:rPr>
                <w:rFonts w:hint="eastAsia" w:ascii="宋体" w:hAnsi="宋体"/>
                <w:color w:val="000000" w:themeColor="text1"/>
                <w:sz w:val="18"/>
                <w14:textFill>
                  <w14:solidFill>
                    <w14:schemeClr w14:val="tx1"/>
                  </w14:solidFill>
                </w14:textFill>
              </w:rPr>
            </w:pPr>
          </w:p>
        </w:tc>
        <w:tc>
          <w:tcPr>
            <w:tcW w:w="2280" w:type="dxa"/>
          </w:tcPr>
          <w:p w14:paraId="17ED338C">
            <w:pPr>
              <w:spacing w:line="400" w:lineRule="exact"/>
              <w:rPr>
                <w:rFonts w:hint="eastAsia" w:ascii="宋体" w:hAnsi="宋体"/>
                <w:color w:val="0000FF"/>
                <w:sz w:val="18"/>
              </w:rPr>
            </w:pPr>
            <w:r>
              <w:rPr>
                <w:rFonts w:hint="eastAsia" w:ascii="宋体" w:hAnsi="宋体"/>
                <w:color w:val="0000FF"/>
                <w:sz w:val="18"/>
              </w:rPr>
              <w:t>3天或3天以上</w:t>
            </w:r>
          </w:p>
        </w:tc>
        <w:tc>
          <w:tcPr>
            <w:tcW w:w="1080" w:type="dxa"/>
          </w:tcPr>
          <w:p w14:paraId="17ED338D">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4</w:t>
            </w:r>
          </w:p>
        </w:tc>
        <w:tc>
          <w:tcPr>
            <w:tcW w:w="1483" w:type="dxa"/>
            <w:vMerge w:val="continue"/>
          </w:tcPr>
          <w:p w14:paraId="17ED338E">
            <w:pPr>
              <w:spacing w:line="400" w:lineRule="exact"/>
              <w:jc w:val="center"/>
              <w:rPr>
                <w:rFonts w:hint="eastAsia" w:ascii="宋体" w:hAnsi="宋体"/>
                <w:color w:val="000000" w:themeColor="text1"/>
                <w:sz w:val="18"/>
                <w14:textFill>
                  <w14:solidFill>
                    <w14:schemeClr w14:val="tx1"/>
                  </w14:solidFill>
                </w14:textFill>
              </w:rPr>
            </w:pPr>
          </w:p>
        </w:tc>
      </w:tr>
      <w:tr w14:paraId="17ED3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0" w:type="dxa"/>
          </w:tcPr>
          <w:p w14:paraId="17ED3390">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被指派为学员准备NDT资格鉴定或其他学术鉴定讲授课程的NDT培训教员</w:t>
            </w:r>
          </w:p>
        </w:tc>
        <w:tc>
          <w:tcPr>
            <w:tcW w:w="2280" w:type="dxa"/>
            <w:vAlign w:val="center"/>
          </w:tcPr>
          <w:p w14:paraId="17ED3391">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每授课8</w:t>
            </w:r>
            <w:r>
              <w:rPr>
                <w:rFonts w:hint="eastAsia" w:ascii="宋体" w:hAnsi="宋体"/>
                <w:color w:val="0000FF"/>
                <w:sz w:val="18"/>
              </w:rPr>
              <w:t>小时</w:t>
            </w:r>
          </w:p>
        </w:tc>
        <w:tc>
          <w:tcPr>
            <w:tcW w:w="1080" w:type="dxa"/>
            <w:vAlign w:val="center"/>
          </w:tcPr>
          <w:p w14:paraId="17ED3392">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4</w:t>
            </w:r>
          </w:p>
        </w:tc>
        <w:tc>
          <w:tcPr>
            <w:tcW w:w="1483" w:type="dxa"/>
            <w:vAlign w:val="center"/>
          </w:tcPr>
          <w:p w14:paraId="17ED3393">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8</w:t>
            </w:r>
          </w:p>
        </w:tc>
      </w:tr>
      <w:tr w14:paraId="17ED3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0" w:type="dxa"/>
            <w:tcBorders>
              <w:top w:val="single" w:color="auto" w:sz="4" w:space="0"/>
              <w:left w:val="single" w:color="auto" w:sz="4" w:space="0"/>
              <w:bottom w:val="single" w:color="auto" w:sz="4" w:space="0"/>
              <w:right w:val="single" w:color="auto" w:sz="4" w:space="0"/>
            </w:tcBorders>
          </w:tcPr>
          <w:p w14:paraId="17ED3395">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参与技术课题或学术研讨</w:t>
            </w:r>
          </w:p>
        </w:tc>
        <w:tc>
          <w:tcPr>
            <w:tcW w:w="2280" w:type="dxa"/>
            <w:tcBorders>
              <w:top w:val="single" w:color="auto" w:sz="4" w:space="0"/>
              <w:left w:val="single" w:color="auto" w:sz="4" w:space="0"/>
              <w:bottom w:val="single" w:color="auto" w:sz="4" w:space="0"/>
              <w:right w:val="single" w:color="auto" w:sz="4" w:space="0"/>
            </w:tcBorders>
            <w:vAlign w:val="center"/>
          </w:tcPr>
          <w:p w14:paraId="17ED3396">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有备案的每讲座8</w:t>
            </w:r>
            <w:r>
              <w:rPr>
                <w:rFonts w:hint="eastAsia" w:ascii="宋体" w:hAnsi="宋体"/>
                <w:color w:val="0000FF"/>
                <w:sz w:val="18"/>
              </w:rPr>
              <w:t>小时</w:t>
            </w:r>
          </w:p>
        </w:tc>
        <w:tc>
          <w:tcPr>
            <w:tcW w:w="1080" w:type="dxa"/>
            <w:tcBorders>
              <w:top w:val="single" w:color="auto" w:sz="4" w:space="0"/>
              <w:left w:val="single" w:color="auto" w:sz="4" w:space="0"/>
              <w:bottom w:val="single" w:color="auto" w:sz="4" w:space="0"/>
              <w:right w:val="single" w:color="auto" w:sz="4" w:space="0"/>
            </w:tcBorders>
            <w:vAlign w:val="center"/>
          </w:tcPr>
          <w:p w14:paraId="17ED3397">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2</w:t>
            </w:r>
          </w:p>
        </w:tc>
        <w:tc>
          <w:tcPr>
            <w:tcW w:w="1483" w:type="dxa"/>
            <w:tcBorders>
              <w:top w:val="single" w:color="auto" w:sz="4" w:space="0"/>
              <w:left w:val="single" w:color="auto" w:sz="4" w:space="0"/>
              <w:bottom w:val="single" w:color="auto" w:sz="4" w:space="0"/>
              <w:right w:val="single" w:color="auto" w:sz="4" w:space="0"/>
            </w:tcBorders>
            <w:vAlign w:val="center"/>
          </w:tcPr>
          <w:p w14:paraId="17ED3398">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8</w:t>
            </w:r>
          </w:p>
        </w:tc>
      </w:tr>
      <w:tr w14:paraId="17ED3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0" w:type="dxa"/>
            <w:tcBorders>
              <w:top w:val="single" w:color="auto" w:sz="4" w:space="0"/>
              <w:left w:val="single" w:color="auto" w:sz="4" w:space="0"/>
              <w:bottom w:val="single" w:color="auto" w:sz="4" w:space="0"/>
              <w:right w:val="single" w:color="auto" w:sz="4" w:space="0"/>
            </w:tcBorders>
          </w:tcPr>
          <w:p w14:paraId="17ED339A">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参加可以获得学分的技术课程或研究班课程</w:t>
            </w:r>
          </w:p>
        </w:tc>
        <w:tc>
          <w:tcPr>
            <w:tcW w:w="2280" w:type="dxa"/>
            <w:tcBorders>
              <w:top w:val="single" w:color="auto" w:sz="4" w:space="0"/>
              <w:left w:val="single" w:color="auto" w:sz="4" w:space="0"/>
              <w:bottom w:val="single" w:color="auto" w:sz="4" w:space="0"/>
              <w:right w:val="single" w:color="auto" w:sz="4" w:space="0"/>
            </w:tcBorders>
            <w:vAlign w:val="center"/>
          </w:tcPr>
          <w:p w14:paraId="17ED339B">
            <w:pP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在继续教育（CEU）中实际获得的学分</w:t>
            </w:r>
          </w:p>
        </w:tc>
        <w:tc>
          <w:tcPr>
            <w:tcW w:w="1080" w:type="dxa"/>
            <w:tcBorders>
              <w:top w:val="single" w:color="auto" w:sz="4" w:space="0"/>
              <w:left w:val="single" w:color="auto" w:sz="4" w:space="0"/>
              <w:bottom w:val="single" w:color="auto" w:sz="4" w:space="0"/>
              <w:right w:val="single" w:color="auto" w:sz="4" w:space="0"/>
            </w:tcBorders>
            <w:vAlign w:val="center"/>
          </w:tcPr>
          <w:p w14:paraId="17ED339C">
            <w:pPr>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实际获得的CEU学分</w:t>
            </w:r>
          </w:p>
        </w:tc>
        <w:tc>
          <w:tcPr>
            <w:tcW w:w="1483" w:type="dxa"/>
            <w:tcBorders>
              <w:top w:val="single" w:color="auto" w:sz="4" w:space="0"/>
              <w:left w:val="single" w:color="auto" w:sz="4" w:space="0"/>
              <w:bottom w:val="single" w:color="auto" w:sz="4" w:space="0"/>
              <w:right w:val="single" w:color="auto" w:sz="4" w:space="0"/>
            </w:tcBorders>
            <w:vAlign w:val="center"/>
          </w:tcPr>
          <w:p w14:paraId="17ED339D">
            <w:pPr>
              <w:spacing w:line="400" w:lineRule="exact"/>
              <w:jc w:val="center"/>
              <w:rPr>
                <w:rFonts w:hint="eastAsia" w:ascii="宋体" w:hAnsi="宋体"/>
                <w:color w:val="000000" w:themeColor="text1"/>
                <w:sz w:val="18"/>
                <w14:textFill>
                  <w14:solidFill>
                    <w14:schemeClr w14:val="tx1"/>
                  </w14:solidFill>
                </w14:textFill>
              </w:rPr>
            </w:pPr>
            <w:r>
              <w:rPr>
                <w:rFonts w:ascii="宋体" w:hAnsi="宋体"/>
                <w:color w:val="000000" w:themeColor="text1"/>
                <w:sz w:val="18"/>
                <w14:textFill>
                  <w14:solidFill>
                    <w14:schemeClr w14:val="tx1"/>
                  </w14:solidFill>
                </w14:textFill>
              </w:rPr>
              <w:t>8</w:t>
            </w:r>
          </w:p>
        </w:tc>
      </w:tr>
      <w:tr w14:paraId="17ED3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0" w:type="dxa"/>
            <w:tcBorders>
              <w:top w:val="single" w:color="auto" w:sz="4" w:space="0"/>
              <w:left w:val="single" w:color="auto" w:sz="4" w:space="0"/>
              <w:bottom w:val="single" w:color="auto" w:sz="4" w:space="0"/>
              <w:right w:val="single" w:color="auto" w:sz="4" w:space="0"/>
            </w:tcBorders>
          </w:tcPr>
          <w:p w14:paraId="17ED339F">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从被认可的行业中获得初次3级</w:t>
            </w:r>
            <w:r>
              <w:rPr>
                <w:rFonts w:hint="eastAsia" w:hAnsi="Arial"/>
                <w:color w:val="000000" w:themeColor="text1"/>
                <w:sz w:val="18"/>
                <w:szCs w:val="18"/>
                <w14:textFill>
                  <w14:solidFill>
                    <w14:schemeClr w14:val="tx1"/>
                  </w14:solidFill>
                </w14:textFill>
              </w:rPr>
              <w:t>认证</w:t>
            </w:r>
            <w:r>
              <w:rPr>
                <w:rFonts w:hint="eastAsia" w:ascii="宋体" w:hAnsi="宋体"/>
                <w:color w:val="000000" w:themeColor="text1"/>
                <w:sz w:val="18"/>
                <w14:textFill>
                  <w14:solidFill>
                    <w14:schemeClr w14:val="tx1"/>
                  </w14:solidFill>
                </w14:textFill>
              </w:rPr>
              <w:t>（仅适用于初次专业认证而不适用于专业重新</w:t>
            </w:r>
            <w:r>
              <w:rPr>
                <w:rFonts w:hint="eastAsia" w:hAnsi="Arial"/>
                <w:color w:val="000000" w:themeColor="text1"/>
                <w14:textFill>
                  <w14:solidFill>
                    <w14:schemeClr w14:val="tx1"/>
                  </w14:solidFill>
                </w14:textFill>
              </w:rPr>
              <w:t>认证</w:t>
            </w:r>
            <w:r>
              <w:rPr>
                <w:rFonts w:hint="eastAsia" w:ascii="宋体" w:hAnsi="宋体"/>
                <w:color w:val="000000" w:themeColor="text1"/>
                <w:sz w:val="18"/>
                <w14:textFill>
                  <w14:solidFill>
                    <w14:schemeClr w14:val="tx1"/>
                  </w14:solidFill>
                </w14:textFill>
              </w:rPr>
              <w:t>）</w:t>
            </w:r>
          </w:p>
        </w:tc>
        <w:tc>
          <w:tcPr>
            <w:tcW w:w="2280" w:type="dxa"/>
            <w:tcBorders>
              <w:top w:val="single" w:color="auto" w:sz="4" w:space="0"/>
              <w:left w:val="single" w:color="auto" w:sz="4" w:space="0"/>
              <w:bottom w:val="single" w:color="auto" w:sz="4" w:space="0"/>
              <w:right w:val="single" w:color="auto" w:sz="4" w:space="0"/>
            </w:tcBorders>
            <w:vAlign w:val="center"/>
          </w:tcPr>
          <w:p w14:paraId="17ED33A0">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每种方法</w:t>
            </w:r>
          </w:p>
        </w:tc>
        <w:tc>
          <w:tcPr>
            <w:tcW w:w="1080" w:type="dxa"/>
            <w:tcBorders>
              <w:top w:val="single" w:color="auto" w:sz="4" w:space="0"/>
              <w:left w:val="single" w:color="auto" w:sz="4" w:space="0"/>
              <w:bottom w:val="single" w:color="auto" w:sz="4" w:space="0"/>
              <w:right w:val="single" w:color="auto" w:sz="4" w:space="0"/>
            </w:tcBorders>
            <w:vAlign w:val="center"/>
          </w:tcPr>
          <w:p w14:paraId="17ED33A1">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4</w:t>
            </w:r>
          </w:p>
        </w:tc>
        <w:tc>
          <w:tcPr>
            <w:tcW w:w="1483" w:type="dxa"/>
            <w:tcBorders>
              <w:top w:val="single" w:color="auto" w:sz="4" w:space="0"/>
              <w:left w:val="single" w:color="auto" w:sz="4" w:space="0"/>
              <w:bottom w:val="single" w:color="auto" w:sz="4" w:space="0"/>
              <w:right w:val="single" w:color="auto" w:sz="4" w:space="0"/>
            </w:tcBorders>
            <w:vAlign w:val="center"/>
          </w:tcPr>
          <w:p w14:paraId="17ED33A2">
            <w:pPr>
              <w:spacing w:line="400" w:lineRule="exact"/>
              <w:jc w:val="center"/>
              <w:rPr>
                <w:rFonts w:hint="eastAsia" w:ascii="宋体" w:hAnsi="宋体"/>
                <w:color w:val="000000" w:themeColor="text1"/>
                <w:sz w:val="18"/>
                <w14:textFill>
                  <w14:solidFill>
                    <w14:schemeClr w14:val="tx1"/>
                  </w14:solidFill>
                </w14:textFill>
              </w:rPr>
            </w:pPr>
            <w:r>
              <w:rPr>
                <w:rFonts w:ascii="宋体" w:hAnsi="宋体"/>
                <w:color w:val="000000" w:themeColor="text1"/>
                <w:sz w:val="18"/>
                <w14:textFill>
                  <w14:solidFill>
                    <w14:schemeClr w14:val="tx1"/>
                  </w14:solidFill>
                </w14:textFill>
              </w:rPr>
              <w:t>4</w:t>
            </w:r>
          </w:p>
        </w:tc>
      </w:tr>
      <w:tr w14:paraId="17ED3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0" w:type="dxa"/>
            <w:tcBorders>
              <w:top w:val="single" w:color="auto" w:sz="4" w:space="0"/>
              <w:left w:val="single" w:color="auto" w:sz="4" w:space="0"/>
              <w:bottom w:val="single" w:color="auto" w:sz="4" w:space="0"/>
              <w:right w:val="single" w:color="auto" w:sz="4" w:space="0"/>
            </w:tcBorders>
          </w:tcPr>
          <w:p w14:paraId="17ED33A4">
            <w:pPr>
              <w:spacing w:line="400" w:lineRule="exact"/>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NDT</w:t>
            </w:r>
            <w:r>
              <w:rPr>
                <w:rFonts w:hint="eastAsia" w:hAnsi="Arial"/>
                <w:color w:val="000000" w:themeColor="text1"/>
                <w:sz w:val="18"/>
                <w:szCs w:val="18"/>
                <w14:textFill>
                  <w14:solidFill>
                    <w14:schemeClr w14:val="tx1"/>
                  </w14:solidFill>
                </w14:textFill>
              </w:rPr>
              <w:t>主考人</w:t>
            </w:r>
          </w:p>
        </w:tc>
        <w:tc>
          <w:tcPr>
            <w:tcW w:w="2280" w:type="dxa"/>
            <w:tcBorders>
              <w:top w:val="single" w:color="auto" w:sz="4" w:space="0"/>
              <w:left w:val="single" w:color="auto" w:sz="4" w:space="0"/>
              <w:bottom w:val="single" w:color="auto" w:sz="4" w:space="0"/>
              <w:right w:val="single" w:color="auto" w:sz="4" w:space="0"/>
            </w:tcBorders>
            <w:vAlign w:val="center"/>
          </w:tcPr>
          <w:p w14:paraId="17ED33A5">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每一期</w:t>
            </w:r>
          </w:p>
        </w:tc>
        <w:tc>
          <w:tcPr>
            <w:tcW w:w="1080" w:type="dxa"/>
            <w:tcBorders>
              <w:top w:val="single" w:color="auto" w:sz="4" w:space="0"/>
              <w:left w:val="single" w:color="auto" w:sz="4" w:space="0"/>
              <w:bottom w:val="single" w:color="auto" w:sz="4" w:space="0"/>
              <w:right w:val="single" w:color="auto" w:sz="4" w:space="0"/>
            </w:tcBorders>
            <w:vAlign w:val="center"/>
          </w:tcPr>
          <w:p w14:paraId="17ED33A6">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1</w:t>
            </w:r>
          </w:p>
        </w:tc>
        <w:tc>
          <w:tcPr>
            <w:tcW w:w="1483" w:type="dxa"/>
            <w:tcBorders>
              <w:top w:val="single" w:color="auto" w:sz="4" w:space="0"/>
              <w:left w:val="single" w:color="auto" w:sz="4" w:space="0"/>
              <w:bottom w:val="single" w:color="auto" w:sz="4" w:space="0"/>
              <w:right w:val="single" w:color="auto" w:sz="4" w:space="0"/>
            </w:tcBorders>
            <w:vAlign w:val="center"/>
          </w:tcPr>
          <w:p w14:paraId="17ED33A7">
            <w:pPr>
              <w:spacing w:line="400" w:lineRule="exact"/>
              <w:jc w:val="center"/>
              <w:rPr>
                <w:rFonts w:hint="eastAsia" w:ascii="宋体" w:hAnsi="宋体"/>
                <w:color w:val="000000" w:themeColor="text1"/>
                <w:sz w:val="18"/>
                <w14:textFill>
                  <w14:solidFill>
                    <w14:schemeClr w14:val="tx1"/>
                  </w14:solidFill>
                </w14:textFill>
              </w:rPr>
            </w:pPr>
            <w:r>
              <w:rPr>
                <w:rFonts w:ascii="宋体" w:hAnsi="宋体"/>
                <w:color w:val="000000" w:themeColor="text1"/>
                <w:sz w:val="18"/>
                <w14:textFill>
                  <w14:solidFill>
                    <w14:schemeClr w14:val="tx1"/>
                  </w14:solidFill>
                </w14:textFill>
              </w:rPr>
              <w:t>6</w:t>
            </w:r>
          </w:p>
        </w:tc>
      </w:tr>
      <w:tr w14:paraId="17ED3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0" w:type="dxa"/>
            <w:tcBorders>
              <w:top w:val="single" w:color="auto" w:sz="4" w:space="0"/>
              <w:left w:val="single" w:color="auto" w:sz="4" w:space="0"/>
              <w:bottom w:val="single" w:color="auto" w:sz="4" w:space="0"/>
              <w:right w:val="single" w:color="auto" w:sz="4" w:space="0"/>
            </w:tcBorders>
          </w:tcPr>
          <w:p w14:paraId="17ED33A9">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在内部或外部出版物上发表的有关NDT技术或学术论文</w:t>
            </w:r>
          </w:p>
        </w:tc>
        <w:tc>
          <w:tcPr>
            <w:tcW w:w="2280" w:type="dxa"/>
            <w:tcBorders>
              <w:top w:val="single" w:color="auto" w:sz="4" w:space="0"/>
              <w:left w:val="single" w:color="auto" w:sz="4" w:space="0"/>
              <w:bottom w:val="single" w:color="auto" w:sz="4" w:space="0"/>
              <w:right w:val="single" w:color="auto" w:sz="4" w:space="0"/>
            </w:tcBorders>
            <w:vAlign w:val="center"/>
          </w:tcPr>
          <w:p w14:paraId="17ED33AA">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每篇论文</w:t>
            </w:r>
          </w:p>
        </w:tc>
        <w:tc>
          <w:tcPr>
            <w:tcW w:w="1080" w:type="dxa"/>
            <w:tcBorders>
              <w:top w:val="single" w:color="auto" w:sz="4" w:space="0"/>
              <w:left w:val="single" w:color="auto" w:sz="4" w:space="0"/>
              <w:bottom w:val="single" w:color="auto" w:sz="4" w:space="0"/>
              <w:right w:val="single" w:color="auto" w:sz="4" w:space="0"/>
            </w:tcBorders>
            <w:vAlign w:val="center"/>
          </w:tcPr>
          <w:p w14:paraId="17ED33AB">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4</w:t>
            </w:r>
          </w:p>
        </w:tc>
        <w:tc>
          <w:tcPr>
            <w:tcW w:w="1483" w:type="dxa"/>
            <w:tcBorders>
              <w:top w:val="single" w:color="auto" w:sz="4" w:space="0"/>
              <w:left w:val="single" w:color="auto" w:sz="4" w:space="0"/>
              <w:bottom w:val="single" w:color="auto" w:sz="4" w:space="0"/>
              <w:right w:val="single" w:color="auto" w:sz="4" w:space="0"/>
            </w:tcBorders>
            <w:vAlign w:val="center"/>
          </w:tcPr>
          <w:p w14:paraId="17ED33AC">
            <w:pPr>
              <w:spacing w:line="400" w:lineRule="exact"/>
              <w:jc w:val="center"/>
              <w:rPr>
                <w:rFonts w:hint="eastAsia" w:ascii="宋体" w:hAnsi="宋体"/>
                <w:color w:val="000000" w:themeColor="text1"/>
                <w:sz w:val="18"/>
                <w14:textFill>
                  <w14:solidFill>
                    <w14:schemeClr w14:val="tx1"/>
                  </w14:solidFill>
                </w14:textFill>
              </w:rPr>
            </w:pPr>
            <w:r>
              <w:rPr>
                <w:rFonts w:ascii="宋体" w:hAnsi="宋体"/>
                <w:color w:val="000000" w:themeColor="text1"/>
                <w:sz w:val="18"/>
                <w14:textFill>
                  <w14:solidFill>
                    <w14:schemeClr w14:val="tx1"/>
                  </w14:solidFill>
                </w14:textFill>
              </w:rPr>
              <w:t>8</w:t>
            </w:r>
          </w:p>
        </w:tc>
      </w:tr>
      <w:tr w14:paraId="17ED3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0" w:type="dxa"/>
            <w:tcBorders>
              <w:top w:val="single" w:color="auto" w:sz="4" w:space="0"/>
              <w:left w:val="single" w:color="auto" w:sz="4" w:space="0"/>
              <w:bottom w:val="single" w:color="auto" w:sz="4" w:space="0"/>
              <w:right w:val="single" w:color="auto" w:sz="4" w:space="0"/>
            </w:tcBorders>
          </w:tcPr>
          <w:p w14:paraId="17ED33AE">
            <w:pPr>
              <w:spacing w:line="400" w:lineRule="exact"/>
              <w:rPr>
                <w:rFonts w:hint="eastAsia" w:ascii="宋体" w:hAnsi="宋体"/>
                <w:color w:val="0000FF"/>
                <w:sz w:val="18"/>
              </w:rPr>
            </w:pPr>
            <w:r>
              <w:rPr>
                <w:rFonts w:hint="eastAsia" w:ascii="宋体" w:hAnsi="宋体"/>
                <w:color w:val="0000FF"/>
                <w:sz w:val="18"/>
              </w:rPr>
              <w:t>公司、技术协会或工业学会项目由备案的投稿</w:t>
            </w:r>
          </w:p>
        </w:tc>
        <w:tc>
          <w:tcPr>
            <w:tcW w:w="2280" w:type="dxa"/>
            <w:tcBorders>
              <w:top w:val="single" w:color="auto" w:sz="4" w:space="0"/>
              <w:left w:val="single" w:color="auto" w:sz="4" w:space="0"/>
              <w:bottom w:val="single" w:color="auto" w:sz="4" w:space="0"/>
              <w:right w:val="single" w:color="auto" w:sz="4" w:space="0"/>
            </w:tcBorders>
            <w:vAlign w:val="center"/>
          </w:tcPr>
          <w:p w14:paraId="17ED33AF">
            <w:pPr>
              <w:spacing w:line="400" w:lineRule="exact"/>
              <w:rPr>
                <w:rFonts w:hint="eastAsia" w:ascii="宋体" w:hAnsi="宋体"/>
                <w:color w:val="0000FF"/>
                <w:sz w:val="18"/>
              </w:rPr>
            </w:pPr>
            <w:r>
              <w:rPr>
                <w:rFonts w:hint="eastAsia" w:ascii="宋体" w:hAnsi="宋体"/>
                <w:color w:val="0000FF"/>
                <w:sz w:val="18"/>
              </w:rPr>
              <w:t>每次备案的投稿</w:t>
            </w:r>
          </w:p>
        </w:tc>
        <w:tc>
          <w:tcPr>
            <w:tcW w:w="1080" w:type="dxa"/>
            <w:tcBorders>
              <w:top w:val="single" w:color="auto" w:sz="4" w:space="0"/>
              <w:left w:val="single" w:color="auto" w:sz="4" w:space="0"/>
              <w:bottom w:val="single" w:color="auto" w:sz="4" w:space="0"/>
              <w:right w:val="single" w:color="auto" w:sz="4" w:space="0"/>
            </w:tcBorders>
            <w:vAlign w:val="center"/>
          </w:tcPr>
          <w:p w14:paraId="17ED33B0">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4</w:t>
            </w:r>
          </w:p>
        </w:tc>
        <w:tc>
          <w:tcPr>
            <w:tcW w:w="1483" w:type="dxa"/>
            <w:tcBorders>
              <w:top w:val="single" w:color="auto" w:sz="4" w:space="0"/>
              <w:left w:val="single" w:color="auto" w:sz="4" w:space="0"/>
              <w:bottom w:val="single" w:color="auto" w:sz="4" w:space="0"/>
              <w:right w:val="single" w:color="auto" w:sz="4" w:space="0"/>
            </w:tcBorders>
            <w:vAlign w:val="center"/>
          </w:tcPr>
          <w:p w14:paraId="17ED33B1">
            <w:pPr>
              <w:spacing w:line="400" w:lineRule="exact"/>
              <w:jc w:val="center"/>
              <w:rPr>
                <w:rFonts w:hint="eastAsia" w:ascii="宋体" w:hAnsi="宋体"/>
                <w:color w:val="000000" w:themeColor="text1"/>
                <w:sz w:val="18"/>
                <w14:textFill>
                  <w14:solidFill>
                    <w14:schemeClr w14:val="tx1"/>
                  </w14:solidFill>
                </w14:textFill>
              </w:rPr>
            </w:pPr>
            <w:r>
              <w:rPr>
                <w:rFonts w:ascii="宋体" w:hAnsi="宋体"/>
                <w:color w:val="000000" w:themeColor="text1"/>
                <w:sz w:val="18"/>
                <w14:textFill>
                  <w14:solidFill>
                    <w14:schemeClr w14:val="tx1"/>
                  </w14:solidFill>
                </w14:textFill>
              </w:rPr>
              <w:t>8</w:t>
            </w:r>
          </w:p>
        </w:tc>
      </w:tr>
      <w:tr w14:paraId="17ED3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0" w:type="dxa"/>
            <w:tcBorders>
              <w:top w:val="single" w:color="auto" w:sz="4" w:space="0"/>
              <w:left w:val="single" w:color="auto" w:sz="4" w:space="0"/>
              <w:bottom w:val="single" w:color="auto" w:sz="4" w:space="0"/>
              <w:right w:val="single" w:color="auto" w:sz="4" w:space="0"/>
            </w:tcBorders>
          </w:tcPr>
          <w:p w14:paraId="17ED33B3">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有备案的参加有关NDT的研究、发展、调研</w:t>
            </w:r>
          </w:p>
        </w:tc>
        <w:tc>
          <w:tcPr>
            <w:tcW w:w="2280" w:type="dxa"/>
            <w:tcBorders>
              <w:top w:val="single" w:color="auto" w:sz="4" w:space="0"/>
              <w:left w:val="single" w:color="auto" w:sz="4" w:space="0"/>
              <w:bottom w:val="single" w:color="auto" w:sz="4" w:space="0"/>
              <w:right w:val="single" w:color="auto" w:sz="4" w:space="0"/>
            </w:tcBorders>
            <w:vAlign w:val="center"/>
          </w:tcPr>
          <w:p w14:paraId="17ED33B4">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每篇备案的报告</w:t>
            </w:r>
          </w:p>
        </w:tc>
        <w:tc>
          <w:tcPr>
            <w:tcW w:w="1080" w:type="dxa"/>
            <w:tcBorders>
              <w:top w:val="single" w:color="auto" w:sz="4" w:space="0"/>
              <w:left w:val="single" w:color="auto" w:sz="4" w:space="0"/>
              <w:bottom w:val="single" w:color="auto" w:sz="4" w:space="0"/>
              <w:right w:val="single" w:color="auto" w:sz="4" w:space="0"/>
            </w:tcBorders>
            <w:vAlign w:val="center"/>
          </w:tcPr>
          <w:p w14:paraId="17ED33B5">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4</w:t>
            </w:r>
          </w:p>
        </w:tc>
        <w:tc>
          <w:tcPr>
            <w:tcW w:w="1483" w:type="dxa"/>
            <w:tcBorders>
              <w:top w:val="single" w:color="auto" w:sz="4" w:space="0"/>
              <w:left w:val="single" w:color="auto" w:sz="4" w:space="0"/>
              <w:bottom w:val="single" w:color="auto" w:sz="4" w:space="0"/>
              <w:right w:val="single" w:color="auto" w:sz="4" w:space="0"/>
            </w:tcBorders>
            <w:vAlign w:val="center"/>
          </w:tcPr>
          <w:p w14:paraId="17ED33B6">
            <w:pPr>
              <w:spacing w:line="400" w:lineRule="exact"/>
              <w:jc w:val="center"/>
              <w:rPr>
                <w:rFonts w:hint="eastAsia" w:ascii="宋体" w:hAnsi="宋体"/>
                <w:color w:val="000000" w:themeColor="text1"/>
                <w:sz w:val="18"/>
                <w14:textFill>
                  <w14:solidFill>
                    <w14:schemeClr w14:val="tx1"/>
                  </w14:solidFill>
                </w14:textFill>
              </w:rPr>
            </w:pPr>
            <w:r>
              <w:rPr>
                <w:rFonts w:ascii="宋体" w:hAnsi="宋体"/>
                <w:color w:val="000000" w:themeColor="text1"/>
                <w:sz w:val="18"/>
                <w14:textFill>
                  <w14:solidFill>
                    <w14:schemeClr w14:val="tx1"/>
                  </w14:solidFill>
                </w14:textFill>
              </w:rPr>
              <w:t>8</w:t>
            </w:r>
          </w:p>
        </w:tc>
      </w:tr>
      <w:tr w14:paraId="17ED3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0" w:type="dxa"/>
            <w:tcBorders>
              <w:top w:val="single" w:color="auto" w:sz="4" w:space="0"/>
              <w:left w:val="single" w:color="auto" w:sz="4" w:space="0"/>
              <w:bottom w:val="single" w:color="auto" w:sz="4" w:space="0"/>
              <w:right w:val="single" w:color="auto" w:sz="4" w:space="0"/>
            </w:tcBorders>
            <w:vAlign w:val="center"/>
          </w:tcPr>
          <w:p w14:paraId="17ED33B8">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有备案的实施3级职责连续达到要求</w:t>
            </w:r>
          </w:p>
        </w:tc>
        <w:tc>
          <w:tcPr>
            <w:tcW w:w="2280" w:type="dxa"/>
            <w:tcBorders>
              <w:top w:val="single" w:color="auto" w:sz="4" w:space="0"/>
              <w:left w:val="single" w:color="auto" w:sz="4" w:space="0"/>
              <w:bottom w:val="single" w:color="auto" w:sz="4" w:space="0"/>
              <w:right w:val="single" w:color="auto" w:sz="4" w:space="0"/>
            </w:tcBorders>
            <w:vAlign w:val="center"/>
          </w:tcPr>
          <w:p w14:paraId="17ED33B9">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在证书有效期内，每种方法</w:t>
            </w:r>
          </w:p>
        </w:tc>
        <w:tc>
          <w:tcPr>
            <w:tcW w:w="1080" w:type="dxa"/>
            <w:tcBorders>
              <w:top w:val="single" w:color="auto" w:sz="4" w:space="0"/>
              <w:left w:val="single" w:color="auto" w:sz="4" w:space="0"/>
              <w:bottom w:val="single" w:color="auto" w:sz="4" w:space="0"/>
              <w:right w:val="single" w:color="auto" w:sz="4" w:space="0"/>
            </w:tcBorders>
            <w:vAlign w:val="center"/>
          </w:tcPr>
          <w:p w14:paraId="17ED33BA">
            <w:pPr>
              <w:spacing w:line="400" w:lineRule="exact"/>
              <w:jc w:val="center"/>
              <w:rPr>
                <w:rFonts w:hint="eastAsia" w:ascii="宋体" w:hAnsi="宋体"/>
                <w:color w:val="000000" w:themeColor="text1"/>
                <w:sz w:val="18"/>
                <w14:textFill>
                  <w14:solidFill>
                    <w14:schemeClr w14:val="tx1"/>
                  </w14:solidFill>
                </w14:textFill>
              </w:rPr>
            </w:pPr>
            <w:r>
              <w:rPr>
                <w:rFonts w:ascii="宋体" w:hAnsi="宋体"/>
                <w:color w:val="000000" w:themeColor="text1"/>
                <w:sz w:val="18"/>
                <w14:textFill>
                  <w14:solidFill>
                    <w14:schemeClr w14:val="tx1"/>
                  </w14:solidFill>
                </w14:textFill>
              </w:rPr>
              <w:t>1</w:t>
            </w:r>
          </w:p>
        </w:tc>
        <w:tc>
          <w:tcPr>
            <w:tcW w:w="1483" w:type="dxa"/>
            <w:tcBorders>
              <w:top w:val="single" w:color="auto" w:sz="4" w:space="0"/>
              <w:left w:val="single" w:color="auto" w:sz="4" w:space="0"/>
              <w:bottom w:val="single" w:color="auto" w:sz="4" w:space="0"/>
              <w:right w:val="single" w:color="auto" w:sz="4" w:space="0"/>
            </w:tcBorders>
            <w:vAlign w:val="center"/>
          </w:tcPr>
          <w:p w14:paraId="17ED33BB">
            <w:pPr>
              <w:spacing w:line="400" w:lineRule="exact"/>
              <w:jc w:val="center"/>
              <w:rPr>
                <w:rFonts w:hint="eastAsia" w:ascii="宋体" w:hAnsi="宋体"/>
                <w:color w:val="000000" w:themeColor="text1"/>
                <w:sz w:val="18"/>
                <w14:textFill>
                  <w14:solidFill>
                    <w14:schemeClr w14:val="tx1"/>
                  </w14:solidFill>
                </w14:textFill>
              </w:rPr>
            </w:pPr>
            <w:r>
              <w:rPr>
                <w:rFonts w:ascii="宋体" w:hAnsi="宋体"/>
                <w:color w:val="000000" w:themeColor="text1"/>
                <w:sz w:val="18"/>
                <w14:textFill>
                  <w14:solidFill>
                    <w14:schemeClr w14:val="tx1"/>
                  </w14:solidFill>
                </w14:textFill>
              </w:rPr>
              <w:t>4</w:t>
            </w:r>
          </w:p>
        </w:tc>
      </w:tr>
      <w:tr w14:paraId="17ED3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0" w:type="dxa"/>
            <w:tcBorders>
              <w:top w:val="single" w:color="auto" w:sz="4" w:space="0"/>
              <w:left w:val="single" w:color="auto" w:sz="4" w:space="0"/>
              <w:bottom w:val="single" w:color="auto" w:sz="4" w:space="0"/>
              <w:right w:val="single" w:color="auto" w:sz="4" w:space="0"/>
            </w:tcBorders>
          </w:tcPr>
          <w:p w14:paraId="17ED33BD">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对外部进行NDT审核</w:t>
            </w:r>
          </w:p>
        </w:tc>
        <w:tc>
          <w:tcPr>
            <w:tcW w:w="2280" w:type="dxa"/>
            <w:tcBorders>
              <w:top w:val="single" w:color="auto" w:sz="4" w:space="0"/>
              <w:left w:val="single" w:color="auto" w:sz="4" w:space="0"/>
              <w:bottom w:val="single" w:color="auto" w:sz="4" w:space="0"/>
              <w:right w:val="single" w:color="auto" w:sz="4" w:space="0"/>
            </w:tcBorders>
            <w:vAlign w:val="center"/>
          </w:tcPr>
          <w:p w14:paraId="17ED33BE">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每次审核</w:t>
            </w:r>
          </w:p>
        </w:tc>
        <w:tc>
          <w:tcPr>
            <w:tcW w:w="1080" w:type="dxa"/>
            <w:tcBorders>
              <w:top w:val="single" w:color="auto" w:sz="4" w:space="0"/>
              <w:left w:val="single" w:color="auto" w:sz="4" w:space="0"/>
              <w:bottom w:val="single" w:color="auto" w:sz="4" w:space="0"/>
              <w:right w:val="single" w:color="auto" w:sz="4" w:space="0"/>
            </w:tcBorders>
            <w:vAlign w:val="center"/>
          </w:tcPr>
          <w:p w14:paraId="17ED33BF">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2</w:t>
            </w:r>
          </w:p>
        </w:tc>
        <w:tc>
          <w:tcPr>
            <w:tcW w:w="1483" w:type="dxa"/>
            <w:tcBorders>
              <w:top w:val="single" w:color="auto" w:sz="4" w:space="0"/>
              <w:left w:val="single" w:color="auto" w:sz="4" w:space="0"/>
              <w:bottom w:val="single" w:color="auto" w:sz="4" w:space="0"/>
              <w:right w:val="single" w:color="auto" w:sz="4" w:space="0"/>
            </w:tcBorders>
            <w:vAlign w:val="center"/>
          </w:tcPr>
          <w:p w14:paraId="17ED33C0">
            <w:pPr>
              <w:spacing w:line="400" w:lineRule="exact"/>
              <w:jc w:val="center"/>
              <w:rPr>
                <w:rFonts w:hint="eastAsia" w:ascii="宋体" w:hAnsi="宋体"/>
                <w:color w:val="000000" w:themeColor="text1"/>
                <w:sz w:val="18"/>
                <w14:textFill>
                  <w14:solidFill>
                    <w14:schemeClr w14:val="tx1"/>
                  </w14:solidFill>
                </w14:textFill>
              </w:rPr>
            </w:pPr>
            <w:r>
              <w:rPr>
                <w:rFonts w:ascii="宋体" w:hAnsi="宋体"/>
                <w:color w:val="000000" w:themeColor="text1"/>
                <w:sz w:val="18"/>
                <w14:textFill>
                  <w14:solidFill>
                    <w14:schemeClr w14:val="tx1"/>
                  </w14:solidFill>
                </w14:textFill>
              </w:rPr>
              <w:t>6</w:t>
            </w:r>
          </w:p>
        </w:tc>
      </w:tr>
      <w:tr w14:paraId="17ED3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0" w:type="dxa"/>
            <w:tcBorders>
              <w:top w:val="single" w:color="auto" w:sz="4" w:space="0"/>
              <w:left w:val="single" w:color="auto" w:sz="4" w:space="0"/>
              <w:bottom w:val="single" w:color="auto" w:sz="4" w:space="0"/>
              <w:right w:val="single" w:color="auto" w:sz="4" w:space="0"/>
            </w:tcBorders>
          </w:tcPr>
          <w:p w14:paraId="17ED33C2">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参加NDT设备展会</w:t>
            </w:r>
          </w:p>
        </w:tc>
        <w:tc>
          <w:tcPr>
            <w:tcW w:w="2280" w:type="dxa"/>
            <w:tcBorders>
              <w:top w:val="single" w:color="auto" w:sz="4" w:space="0"/>
              <w:left w:val="single" w:color="auto" w:sz="4" w:space="0"/>
              <w:bottom w:val="single" w:color="auto" w:sz="4" w:space="0"/>
              <w:right w:val="single" w:color="auto" w:sz="4" w:space="0"/>
            </w:tcBorders>
            <w:vAlign w:val="center"/>
          </w:tcPr>
          <w:p w14:paraId="17ED33C3">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每次</w:t>
            </w:r>
          </w:p>
        </w:tc>
        <w:tc>
          <w:tcPr>
            <w:tcW w:w="1080" w:type="dxa"/>
            <w:tcBorders>
              <w:top w:val="single" w:color="auto" w:sz="4" w:space="0"/>
              <w:left w:val="single" w:color="auto" w:sz="4" w:space="0"/>
              <w:bottom w:val="single" w:color="auto" w:sz="4" w:space="0"/>
              <w:right w:val="single" w:color="auto" w:sz="4" w:space="0"/>
            </w:tcBorders>
            <w:vAlign w:val="center"/>
          </w:tcPr>
          <w:p w14:paraId="17ED33C4">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1</w:t>
            </w:r>
          </w:p>
        </w:tc>
        <w:tc>
          <w:tcPr>
            <w:tcW w:w="1483" w:type="dxa"/>
            <w:tcBorders>
              <w:top w:val="single" w:color="auto" w:sz="4" w:space="0"/>
              <w:left w:val="single" w:color="auto" w:sz="4" w:space="0"/>
              <w:bottom w:val="single" w:color="auto" w:sz="4" w:space="0"/>
              <w:right w:val="single" w:color="auto" w:sz="4" w:space="0"/>
            </w:tcBorders>
            <w:vAlign w:val="center"/>
          </w:tcPr>
          <w:p w14:paraId="17ED33C5">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4</w:t>
            </w:r>
          </w:p>
        </w:tc>
      </w:tr>
      <w:tr w14:paraId="17ED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0" w:type="dxa"/>
            <w:tcBorders>
              <w:top w:val="single" w:color="auto" w:sz="4" w:space="0"/>
              <w:left w:val="single" w:color="auto" w:sz="4" w:space="0"/>
              <w:bottom w:val="single" w:color="auto" w:sz="4" w:space="0"/>
              <w:right w:val="single" w:color="auto" w:sz="4" w:space="0"/>
            </w:tcBorders>
          </w:tcPr>
          <w:p w14:paraId="17ED33C7">
            <w:pPr>
              <w:spacing w:line="400" w:lineRule="exact"/>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14:textFill>
                  <w14:solidFill>
                    <w14:schemeClr w14:val="tx1"/>
                  </w14:solidFill>
                </w14:textFill>
              </w:rPr>
              <w:t>开发一种新的NDT工艺、设备或系统</w:t>
            </w:r>
          </w:p>
        </w:tc>
        <w:tc>
          <w:tcPr>
            <w:tcW w:w="2280" w:type="dxa"/>
            <w:tcBorders>
              <w:top w:val="single" w:color="auto" w:sz="4" w:space="0"/>
              <w:left w:val="single" w:color="auto" w:sz="4" w:space="0"/>
              <w:bottom w:val="single" w:color="auto" w:sz="4" w:space="0"/>
              <w:right w:val="single" w:color="auto" w:sz="4" w:space="0"/>
            </w:tcBorders>
            <w:vAlign w:val="center"/>
          </w:tcPr>
          <w:p w14:paraId="17ED33C8">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有备案的每一次记录</w:t>
            </w:r>
          </w:p>
        </w:tc>
        <w:tc>
          <w:tcPr>
            <w:tcW w:w="1080" w:type="dxa"/>
            <w:tcBorders>
              <w:top w:val="single" w:color="auto" w:sz="4" w:space="0"/>
              <w:left w:val="single" w:color="auto" w:sz="4" w:space="0"/>
              <w:bottom w:val="single" w:color="auto" w:sz="4" w:space="0"/>
              <w:right w:val="single" w:color="auto" w:sz="4" w:space="0"/>
            </w:tcBorders>
            <w:vAlign w:val="center"/>
          </w:tcPr>
          <w:p w14:paraId="17ED33C9">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4</w:t>
            </w:r>
          </w:p>
        </w:tc>
        <w:tc>
          <w:tcPr>
            <w:tcW w:w="1483" w:type="dxa"/>
            <w:tcBorders>
              <w:top w:val="single" w:color="auto" w:sz="4" w:space="0"/>
              <w:left w:val="single" w:color="auto" w:sz="4" w:space="0"/>
              <w:bottom w:val="single" w:color="auto" w:sz="4" w:space="0"/>
              <w:right w:val="single" w:color="auto" w:sz="4" w:space="0"/>
            </w:tcBorders>
            <w:vAlign w:val="center"/>
          </w:tcPr>
          <w:p w14:paraId="17ED33CA">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8</w:t>
            </w:r>
          </w:p>
        </w:tc>
      </w:tr>
      <w:tr w14:paraId="17ED3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4650" w:type="dxa"/>
            <w:vMerge w:val="restart"/>
            <w:tcBorders>
              <w:top w:val="single" w:color="auto" w:sz="4" w:space="0"/>
              <w:left w:val="single" w:color="auto" w:sz="4" w:space="0"/>
              <w:right w:val="single" w:color="auto" w:sz="4" w:space="0"/>
            </w:tcBorders>
          </w:tcPr>
          <w:p w14:paraId="17ED33CC">
            <w:pPr>
              <w:spacing w:line="400" w:lineRule="exact"/>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提交或获得</w:t>
            </w:r>
            <w:r>
              <w:rPr>
                <w:rFonts w:hint="eastAsia" w:ascii="宋体" w:hAnsi="宋体"/>
                <w:color w:val="000000" w:themeColor="text1"/>
                <w:sz w:val="18"/>
                <w14:textFill>
                  <w14:solidFill>
                    <w14:schemeClr w14:val="tx1"/>
                  </w14:solidFill>
                </w14:textFill>
              </w:rPr>
              <w:t>NDT</w:t>
            </w:r>
            <w:r>
              <w:rPr>
                <w:rFonts w:hint="eastAsia" w:ascii="宋体" w:hAnsi="宋体"/>
                <w:color w:val="000000" w:themeColor="text1"/>
                <w:sz w:val="18"/>
                <w:szCs w:val="18"/>
                <w14:textFill>
                  <w14:solidFill>
                    <w14:schemeClr w14:val="tx1"/>
                  </w14:solidFill>
                </w14:textFill>
              </w:rPr>
              <w:t>产品或工艺方面的专利</w:t>
            </w:r>
          </w:p>
        </w:tc>
        <w:tc>
          <w:tcPr>
            <w:tcW w:w="2280" w:type="dxa"/>
            <w:tcBorders>
              <w:top w:val="single" w:color="auto" w:sz="4" w:space="0"/>
              <w:left w:val="single" w:color="auto" w:sz="4" w:space="0"/>
              <w:bottom w:val="single" w:color="auto" w:sz="4" w:space="0"/>
              <w:right w:val="single" w:color="auto" w:sz="4" w:space="0"/>
            </w:tcBorders>
            <w:vAlign w:val="center"/>
          </w:tcPr>
          <w:p w14:paraId="17ED33CD">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独自发明</w:t>
            </w:r>
          </w:p>
        </w:tc>
        <w:tc>
          <w:tcPr>
            <w:tcW w:w="1080" w:type="dxa"/>
            <w:tcBorders>
              <w:top w:val="single" w:color="auto" w:sz="4" w:space="0"/>
              <w:left w:val="single" w:color="auto" w:sz="4" w:space="0"/>
              <w:right w:val="single" w:color="auto" w:sz="4" w:space="0"/>
            </w:tcBorders>
            <w:vAlign w:val="center"/>
          </w:tcPr>
          <w:p w14:paraId="17ED33CE">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8</w:t>
            </w:r>
          </w:p>
        </w:tc>
        <w:tc>
          <w:tcPr>
            <w:tcW w:w="1483" w:type="dxa"/>
            <w:vMerge w:val="restart"/>
            <w:tcBorders>
              <w:top w:val="single" w:color="auto" w:sz="4" w:space="0"/>
              <w:left w:val="single" w:color="auto" w:sz="4" w:space="0"/>
              <w:right w:val="single" w:color="auto" w:sz="4" w:space="0"/>
            </w:tcBorders>
            <w:vAlign w:val="center"/>
          </w:tcPr>
          <w:p w14:paraId="17ED33CF">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8</w:t>
            </w:r>
          </w:p>
        </w:tc>
      </w:tr>
      <w:tr w14:paraId="17ED3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4650" w:type="dxa"/>
            <w:vMerge w:val="continue"/>
            <w:tcBorders>
              <w:left w:val="single" w:color="auto" w:sz="4" w:space="0"/>
              <w:bottom w:val="single" w:color="auto" w:sz="4" w:space="0"/>
              <w:right w:val="single" w:color="auto" w:sz="4" w:space="0"/>
            </w:tcBorders>
          </w:tcPr>
          <w:p w14:paraId="17ED33D1">
            <w:pPr>
              <w:spacing w:line="400" w:lineRule="exact"/>
              <w:rPr>
                <w:rFonts w:hint="eastAsia" w:ascii="宋体" w:hAnsi="宋体"/>
                <w:color w:val="000000" w:themeColor="text1"/>
                <w:sz w:val="18"/>
                <w:szCs w:val="18"/>
                <w14:textFill>
                  <w14:solidFill>
                    <w14:schemeClr w14:val="tx1"/>
                  </w14:solidFill>
                </w14:textFill>
              </w:rPr>
            </w:pPr>
          </w:p>
        </w:tc>
        <w:tc>
          <w:tcPr>
            <w:tcW w:w="2280" w:type="dxa"/>
            <w:tcBorders>
              <w:top w:val="single" w:color="auto" w:sz="4" w:space="0"/>
              <w:left w:val="single" w:color="auto" w:sz="4" w:space="0"/>
              <w:bottom w:val="single" w:color="auto" w:sz="4" w:space="0"/>
              <w:right w:val="single" w:color="auto" w:sz="4" w:space="0"/>
            </w:tcBorders>
            <w:vAlign w:val="center"/>
          </w:tcPr>
          <w:p w14:paraId="17ED33D2">
            <w:pPr>
              <w:spacing w:line="400" w:lineRule="exact"/>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合作发明</w:t>
            </w:r>
          </w:p>
        </w:tc>
        <w:tc>
          <w:tcPr>
            <w:tcW w:w="1080" w:type="dxa"/>
            <w:tcBorders>
              <w:left w:val="single" w:color="auto" w:sz="4" w:space="0"/>
              <w:bottom w:val="single" w:color="auto" w:sz="4" w:space="0"/>
              <w:right w:val="single" w:color="auto" w:sz="4" w:space="0"/>
            </w:tcBorders>
            <w:vAlign w:val="center"/>
          </w:tcPr>
          <w:p w14:paraId="17ED33D3">
            <w:pPr>
              <w:spacing w:line="400" w:lineRule="exact"/>
              <w:jc w:val="center"/>
              <w:rPr>
                <w:rFonts w:hint="eastAsia" w:ascii="宋体" w:hAnsi="宋体"/>
                <w:color w:val="000000" w:themeColor="text1"/>
                <w:sz w:val="18"/>
                <w14:textFill>
                  <w14:solidFill>
                    <w14:schemeClr w14:val="tx1"/>
                  </w14:solidFill>
                </w14:textFill>
              </w:rPr>
            </w:pPr>
            <w:r>
              <w:rPr>
                <w:rFonts w:hint="eastAsia" w:ascii="宋体" w:hAnsi="宋体"/>
                <w:color w:val="000000" w:themeColor="text1"/>
                <w:sz w:val="18"/>
                <w14:textFill>
                  <w14:solidFill>
                    <w14:schemeClr w14:val="tx1"/>
                  </w14:solidFill>
                </w14:textFill>
              </w:rPr>
              <w:t>4</w:t>
            </w:r>
          </w:p>
        </w:tc>
        <w:tc>
          <w:tcPr>
            <w:tcW w:w="1483" w:type="dxa"/>
            <w:vMerge w:val="continue"/>
            <w:tcBorders>
              <w:left w:val="single" w:color="auto" w:sz="4" w:space="0"/>
              <w:bottom w:val="single" w:color="auto" w:sz="4" w:space="0"/>
              <w:right w:val="single" w:color="auto" w:sz="4" w:space="0"/>
            </w:tcBorders>
            <w:vAlign w:val="center"/>
          </w:tcPr>
          <w:p w14:paraId="17ED33D4">
            <w:pPr>
              <w:spacing w:line="400" w:lineRule="exact"/>
              <w:jc w:val="center"/>
              <w:rPr>
                <w:rFonts w:hint="eastAsia" w:ascii="宋体" w:hAnsi="宋体"/>
                <w:color w:val="000000" w:themeColor="text1"/>
                <w:sz w:val="18"/>
                <w14:textFill>
                  <w14:solidFill>
                    <w14:schemeClr w14:val="tx1"/>
                  </w14:solidFill>
                </w14:textFill>
              </w:rPr>
            </w:pPr>
          </w:p>
        </w:tc>
      </w:tr>
    </w:tbl>
    <w:p w14:paraId="17ED33D6">
      <w:pPr>
        <w:pStyle w:val="87"/>
        <w:numPr>
          <w:ilvl w:val="0"/>
          <w:numId w:val="0"/>
        </w:numPr>
        <w:spacing w:before="156" w:after="156"/>
        <w:jc w:val="both"/>
        <w:rPr>
          <w:color w:val="000000" w:themeColor="text1"/>
          <w14:textFill>
            <w14:solidFill>
              <w14:schemeClr w14:val="tx1"/>
            </w14:solidFill>
          </w14:textFill>
        </w:rPr>
      </w:pPr>
      <w:r>
        <w:rPr>
          <w:color w:val="000000" w:themeColor="text1"/>
          <w14:textFill>
            <w14:solidFill>
              <w14:schemeClr w14:val="tx1"/>
            </w14:solidFill>
          </w14:textFill>
        </w:rPr>
        <w:br w:type="page"/>
      </w:r>
    </w:p>
    <w:p w14:paraId="3D99077F">
      <w:pPr>
        <w:pStyle w:val="84"/>
        <w:spacing w:after="0"/>
      </w:pPr>
      <w:bookmarkStart w:id="1293" w:name="_Toc240124646"/>
      <w:bookmarkEnd w:id="1293"/>
    </w:p>
    <w:p w14:paraId="23D04DB6">
      <w:pPr>
        <w:pStyle w:val="24"/>
        <w:ind w:firstLine="0" w:firstLineChars="0"/>
        <w:jc w:val="center"/>
        <w:rPr>
          <w:rFonts w:hAnsi="黑体"/>
          <w:color w:val="0000FF"/>
        </w:rPr>
      </w:pPr>
      <w:r>
        <w:rPr>
          <w:rFonts w:hint="eastAsia" w:ascii="黑体" w:hAnsi="黑体" w:eastAsia="黑体"/>
          <w:color w:val="000000" w:themeColor="text1"/>
          <w14:textFill>
            <w14:solidFill>
              <w14:schemeClr w14:val="tx1"/>
            </w14:solidFill>
          </w14:textFill>
        </w:rPr>
        <w:t>（</w:t>
      </w:r>
      <w:r>
        <w:rPr>
          <w:rFonts w:hint="eastAsia" w:ascii="黑体" w:hAnsi="黑体" w:eastAsia="黑体"/>
          <w:color w:val="0000FF"/>
        </w:rPr>
        <w:t>规范性附录）</w:t>
      </w:r>
      <w:r>
        <w:rPr>
          <w:rFonts w:ascii="黑体" w:hAnsi="黑体" w:eastAsia="黑体"/>
          <w:color w:val="0000FF"/>
        </w:rPr>
        <w:br w:type="textWrapping"/>
      </w:r>
      <w:r>
        <w:rPr>
          <w:rFonts w:hint="eastAsia" w:ascii="黑体" w:hAnsi="黑体" w:eastAsia="黑体"/>
          <w:color w:val="0000FF"/>
        </w:rPr>
        <w:t>限定1级人员的资格鉴定与认证</w:t>
      </w:r>
    </w:p>
    <w:p w14:paraId="58739C8A">
      <w:pPr>
        <w:pStyle w:val="102"/>
        <w:spacing w:before="312" w:after="312"/>
        <w:rPr>
          <w:color w:val="0000FF"/>
        </w:rPr>
      </w:pPr>
      <w:bookmarkStart w:id="1294" w:name="_Toc225885751"/>
      <w:bookmarkStart w:id="1295" w:name="_Toc240124647"/>
      <w:r>
        <w:rPr>
          <w:rFonts w:hint="eastAsia"/>
          <w:color w:val="0000FF"/>
        </w:rPr>
        <w:t>范围</w:t>
      </w:r>
      <w:bookmarkEnd w:id="1294"/>
      <w:bookmarkEnd w:id="1295"/>
    </w:p>
    <w:p w14:paraId="510665F6">
      <w:pPr>
        <w:pStyle w:val="24"/>
        <w:rPr>
          <w:color w:val="0000FF"/>
        </w:rPr>
      </w:pPr>
      <w:r>
        <w:rPr>
          <w:rFonts w:hint="eastAsia"/>
          <w:color w:val="0000FF"/>
        </w:rPr>
        <w:t>本附录规定了除本文件所有规定要求之外，对限定1级人员的资格鉴定与认证的要求。附录B仅当经认可的工程机构和雇主书面实施规程批准时适用。</w:t>
      </w:r>
    </w:p>
    <w:p w14:paraId="465A49A9">
      <w:pPr>
        <w:pStyle w:val="102"/>
        <w:spacing w:before="312" w:after="312"/>
        <w:rPr>
          <w:color w:val="0000FF"/>
        </w:rPr>
      </w:pPr>
      <w:bookmarkStart w:id="1296" w:name="_Toc225885752"/>
      <w:bookmarkStart w:id="1297" w:name="_Toc240124648"/>
      <w:r>
        <w:rPr>
          <w:rFonts w:hint="eastAsia"/>
          <w:color w:val="0000FF"/>
        </w:rPr>
        <w:t>要求</w:t>
      </w:r>
      <w:bookmarkEnd w:id="1296"/>
      <w:bookmarkEnd w:id="1297"/>
    </w:p>
    <w:p w14:paraId="182F47E3">
      <w:pPr>
        <w:pStyle w:val="103"/>
        <w:spacing w:before="156" w:after="156"/>
        <w:ind w:left="0"/>
        <w:rPr>
          <w:color w:val="0000FF"/>
        </w:rPr>
      </w:pPr>
      <w:bookmarkStart w:id="1298" w:name="_Toc225885753"/>
      <w:bookmarkStart w:id="1299" w:name="_Toc240124649"/>
      <w:r>
        <w:rPr>
          <w:rFonts w:hint="eastAsia"/>
          <w:color w:val="0000FF"/>
        </w:rPr>
        <w:t>概述</w:t>
      </w:r>
      <w:bookmarkEnd w:id="1298"/>
      <w:bookmarkEnd w:id="1299"/>
    </w:p>
    <w:p w14:paraId="0EB8A3C1">
      <w:pPr>
        <w:pStyle w:val="24"/>
        <w:rPr>
          <w:color w:val="0000FF"/>
        </w:rPr>
      </w:pPr>
      <w:r>
        <w:rPr>
          <w:rFonts w:hint="eastAsia"/>
          <w:color w:val="0000FF"/>
        </w:rPr>
        <w:t>当认可的工程机构和雇主书面实施规程批准时，限定1级人员可以对特定的零件、零件特征或组件执行专项的NDT检测。每项由限定</w:t>
      </w:r>
      <w:r>
        <w:rPr>
          <w:color w:val="0000FF"/>
        </w:rPr>
        <w:t>1</w:t>
      </w:r>
      <w:r>
        <w:rPr>
          <w:rFonts w:hint="eastAsia"/>
          <w:color w:val="0000FF"/>
        </w:rPr>
        <w:t>级人员实施的检测项目，都应进行单独认证并得到认可的工程机构的批准。在任何特定的时间内，个人不应同时拥有</w:t>
      </w:r>
      <w:r>
        <w:rPr>
          <w:color w:val="0000FF"/>
        </w:rPr>
        <w:t>3</w:t>
      </w:r>
      <w:r>
        <w:rPr>
          <w:rFonts w:hint="eastAsia"/>
          <w:color w:val="0000FF"/>
        </w:rPr>
        <w:t>项以上的限定</w:t>
      </w:r>
      <w:r>
        <w:rPr>
          <w:color w:val="0000FF"/>
        </w:rPr>
        <w:t>1</w:t>
      </w:r>
      <w:r>
        <w:rPr>
          <w:rFonts w:hint="eastAsia"/>
          <w:color w:val="0000FF"/>
        </w:rPr>
        <w:t>级认证。下列项目应备案并提交给雇主的客户或管理部门审查：</w:t>
      </w:r>
    </w:p>
    <w:p w14:paraId="5C6EED5E">
      <w:pPr>
        <w:pStyle w:val="48"/>
        <w:rPr>
          <w:color w:val="0000FF"/>
        </w:rPr>
      </w:pPr>
      <w:r>
        <w:rPr>
          <w:rFonts w:hint="eastAsia"/>
          <w:color w:val="0000FF"/>
        </w:rPr>
        <w:t>逐项列出使用限定1级的正当理由；</w:t>
      </w:r>
    </w:p>
    <w:p w14:paraId="26950937">
      <w:pPr>
        <w:pStyle w:val="48"/>
        <w:rPr>
          <w:color w:val="0000FF"/>
        </w:rPr>
      </w:pPr>
      <w:r>
        <w:rPr>
          <w:rFonts w:hint="eastAsia"/>
          <w:color w:val="0000FF"/>
        </w:rPr>
        <w:t>认可的工程机构的批准；</w:t>
      </w:r>
    </w:p>
    <w:p w14:paraId="3E8F4332">
      <w:pPr>
        <w:pStyle w:val="48"/>
        <w:rPr>
          <w:color w:val="0000FF"/>
        </w:rPr>
      </w:pPr>
      <w:r>
        <w:rPr>
          <w:rFonts w:hint="eastAsia"/>
          <w:color w:val="0000FF"/>
        </w:rPr>
        <w:t>培训和经历时间，以及考题数量；</w:t>
      </w:r>
    </w:p>
    <w:p w14:paraId="1911A231">
      <w:pPr>
        <w:pStyle w:val="48"/>
        <w:rPr>
          <w:color w:val="0000FF"/>
        </w:rPr>
      </w:pPr>
      <w:r>
        <w:rPr>
          <w:rFonts w:hint="eastAsia"/>
          <w:color w:val="0000FF"/>
        </w:rPr>
        <w:t>执行的专项NDT检测；</w:t>
      </w:r>
    </w:p>
    <w:p w14:paraId="3AE5DA70">
      <w:pPr>
        <w:pStyle w:val="48"/>
        <w:rPr>
          <w:color w:val="0000FF"/>
        </w:rPr>
      </w:pPr>
      <w:r>
        <w:rPr>
          <w:rFonts w:hint="eastAsia"/>
          <w:color w:val="0000FF"/>
        </w:rPr>
        <w:t>专项检测的零部件；</w:t>
      </w:r>
    </w:p>
    <w:p w14:paraId="2267F84C">
      <w:pPr>
        <w:pStyle w:val="48"/>
        <w:rPr>
          <w:color w:val="0000FF"/>
        </w:rPr>
      </w:pPr>
      <w:r>
        <w:rPr>
          <w:rFonts w:hint="eastAsia"/>
          <w:color w:val="0000FF"/>
        </w:rPr>
        <w:t>若适用，接收或拒收零部件的授权。</w:t>
      </w:r>
    </w:p>
    <w:p w14:paraId="7F80ABEB">
      <w:pPr>
        <w:pStyle w:val="103"/>
        <w:spacing w:before="156" w:after="156"/>
        <w:ind w:left="0"/>
        <w:rPr>
          <w:color w:val="0000FF"/>
        </w:rPr>
      </w:pPr>
      <w:bookmarkStart w:id="1300" w:name="_Toc225885754"/>
      <w:bookmarkStart w:id="1301" w:name="_Toc240124650"/>
      <w:r>
        <w:rPr>
          <w:rFonts w:hint="eastAsia"/>
          <w:color w:val="0000FF"/>
        </w:rPr>
        <w:t>限定1级认证</w:t>
      </w:r>
      <w:bookmarkEnd w:id="1300"/>
      <w:bookmarkEnd w:id="1301"/>
    </w:p>
    <w:p w14:paraId="1D642928">
      <w:pPr>
        <w:pStyle w:val="24"/>
        <w:rPr>
          <w:color w:val="0000FF"/>
        </w:rPr>
      </w:pPr>
      <w:r>
        <w:rPr>
          <w:rFonts w:hint="eastAsia"/>
          <w:color w:val="0000FF"/>
        </w:rPr>
        <w:t>限定1级是只限于对特定的零件、零件特征或组件执行特定的NDT检测。在认证的检测方法和技术范围内，限定1级人员：</w:t>
      </w:r>
    </w:p>
    <w:p w14:paraId="268B96A2">
      <w:pPr>
        <w:pStyle w:val="48"/>
        <w:rPr>
          <w:color w:val="0000FF"/>
        </w:rPr>
      </w:pPr>
      <w:r>
        <w:rPr>
          <w:rFonts w:hint="eastAsia"/>
          <w:color w:val="0000FF"/>
        </w:rPr>
        <w:t>应能够遵照作业指导书工作；</w:t>
      </w:r>
    </w:p>
    <w:p w14:paraId="541E9A0B">
      <w:pPr>
        <w:pStyle w:val="48"/>
        <w:rPr>
          <w:color w:val="0000FF"/>
        </w:rPr>
      </w:pPr>
      <w:r>
        <w:rPr>
          <w:rFonts w:hint="eastAsia"/>
          <w:color w:val="0000FF"/>
        </w:rPr>
        <w:t>必要时接受该方法2级或3级人员的指导和监督；</w:t>
      </w:r>
    </w:p>
    <w:p w14:paraId="350885FE">
      <w:pPr>
        <w:pStyle w:val="48"/>
        <w:rPr>
          <w:color w:val="0000FF"/>
        </w:rPr>
      </w:pPr>
      <w:r>
        <w:rPr>
          <w:rFonts w:hint="eastAsia"/>
          <w:color w:val="0000FF"/>
        </w:rPr>
        <w:t>应具备按照批准的作业指导书处理零件、结果备案和设备调校的技能和知识；</w:t>
      </w:r>
    </w:p>
    <w:p w14:paraId="67804490">
      <w:pPr>
        <w:pStyle w:val="48"/>
        <w:rPr>
          <w:color w:val="0000FF"/>
        </w:rPr>
      </w:pPr>
      <w:r>
        <w:rPr>
          <w:rFonts w:hint="eastAsia"/>
          <w:color w:val="0000FF"/>
        </w:rPr>
        <w:t>应具备按照批准的作业指导书执行零件在检测前后任何必要的准备的技能和知识；</w:t>
      </w:r>
    </w:p>
    <w:p w14:paraId="4448313D">
      <w:pPr>
        <w:pStyle w:val="48"/>
        <w:rPr>
          <w:color w:val="0000FF"/>
        </w:rPr>
      </w:pPr>
      <w:r>
        <w:rPr>
          <w:rFonts w:hint="eastAsia"/>
          <w:color w:val="0000FF"/>
        </w:rPr>
        <w:t>当书面实施规程规定和经认可的工程机构同意且在责任3级人员备案的限定范围之内，具备按照批准的作业指导书评价检测结果和对特定零件、零件特征或组件确定接受或拒收的技能和知识。</w:t>
      </w:r>
    </w:p>
    <w:p w14:paraId="1A563FC5">
      <w:pPr>
        <w:pStyle w:val="103"/>
        <w:spacing w:before="156" w:after="156"/>
        <w:ind w:left="0"/>
        <w:rPr>
          <w:color w:val="0000FF"/>
        </w:rPr>
      </w:pPr>
      <w:bookmarkStart w:id="1302" w:name="_Toc225885755"/>
      <w:bookmarkStart w:id="1303" w:name="_Toc240124651"/>
      <w:r>
        <w:rPr>
          <w:rFonts w:hint="eastAsia"/>
          <w:color w:val="0000FF"/>
        </w:rPr>
        <w:t>限定1级培训</w:t>
      </w:r>
      <w:bookmarkEnd w:id="1302"/>
      <w:bookmarkEnd w:id="1303"/>
    </w:p>
    <w:p w14:paraId="4CB3E5EF">
      <w:pPr>
        <w:pStyle w:val="24"/>
        <w:rPr>
          <w:color w:val="0000FF"/>
        </w:rPr>
      </w:pPr>
      <w:r>
        <w:rPr>
          <w:rFonts w:hint="eastAsia"/>
          <w:color w:val="0000FF"/>
        </w:rPr>
        <w:t>对于限定1级的最低培训学时，应由责任3级人员确定并备案。但不应少于相应方法1级人员培训学时的25%。</w:t>
      </w:r>
    </w:p>
    <w:p w14:paraId="58A40EF4">
      <w:pPr>
        <w:pStyle w:val="103"/>
        <w:spacing w:before="156" w:after="156"/>
        <w:ind w:left="0"/>
        <w:rPr>
          <w:color w:val="0000FF"/>
        </w:rPr>
      </w:pPr>
      <w:bookmarkStart w:id="1304" w:name="_Toc225885756"/>
      <w:bookmarkStart w:id="1305" w:name="_Toc240124652"/>
      <w:r>
        <w:rPr>
          <w:rFonts w:hint="eastAsia"/>
          <w:color w:val="0000FF"/>
        </w:rPr>
        <w:t>限定1级经历</w:t>
      </w:r>
      <w:bookmarkEnd w:id="1304"/>
      <w:bookmarkEnd w:id="1305"/>
    </w:p>
    <w:p w14:paraId="26CADDAF">
      <w:pPr>
        <w:pStyle w:val="24"/>
        <w:rPr>
          <w:color w:val="0000FF"/>
        </w:rPr>
      </w:pPr>
      <w:r>
        <w:rPr>
          <w:rFonts w:hint="eastAsia"/>
          <w:color w:val="0000FF"/>
        </w:rPr>
        <w:t>限定1级的经历要求由责任3级人员确定并备案，但不应少于相应方法1级人员经历要求的10%。</w:t>
      </w:r>
    </w:p>
    <w:p w14:paraId="6997192A">
      <w:pPr>
        <w:pStyle w:val="24"/>
        <w:ind w:firstLine="0" w:firstLineChars="0"/>
        <w:rPr>
          <w:color w:val="0000FF"/>
        </w:rPr>
      </w:pPr>
    </w:p>
    <w:p w14:paraId="4ECE3FFE">
      <w:pPr>
        <w:pStyle w:val="24"/>
        <w:ind w:firstLine="0" w:firstLineChars="0"/>
        <w:rPr>
          <w:color w:val="0000FF"/>
        </w:rPr>
      </w:pPr>
    </w:p>
    <w:p w14:paraId="12EB6A29">
      <w:pPr>
        <w:pStyle w:val="103"/>
        <w:spacing w:before="156" w:after="156"/>
        <w:ind w:left="0"/>
        <w:rPr>
          <w:color w:val="0000FF"/>
        </w:rPr>
      </w:pPr>
      <w:bookmarkStart w:id="1306" w:name="_Toc225885757"/>
      <w:bookmarkStart w:id="1307" w:name="_Toc240124653"/>
      <w:r>
        <w:rPr>
          <w:rFonts w:hint="eastAsia"/>
          <w:color w:val="0000FF"/>
        </w:rPr>
        <w:t>限定1级考试</w:t>
      </w:r>
      <w:bookmarkEnd w:id="1306"/>
      <w:bookmarkEnd w:id="1307"/>
    </w:p>
    <w:p w14:paraId="52F55034">
      <w:pPr>
        <w:pStyle w:val="24"/>
        <w:rPr>
          <w:color w:val="0000FF"/>
        </w:rPr>
      </w:pPr>
      <w:r>
        <w:rPr>
          <w:rFonts w:hint="eastAsia"/>
          <w:color w:val="0000FF"/>
        </w:rPr>
        <w:t>考试类型：考试应包括满足本文件要求的通过考试、专门考试、实际操作考试及视力检查。考试要求如下：</w:t>
      </w:r>
    </w:p>
    <w:p w14:paraId="44537EAC">
      <w:pPr>
        <w:pStyle w:val="24"/>
        <w:rPr>
          <w:color w:val="0000FF"/>
        </w:rPr>
      </w:pPr>
      <w:r>
        <w:rPr>
          <w:rFonts w:hint="eastAsia"/>
          <w:color w:val="0000FF"/>
        </w:rPr>
        <w:t>通用考试：限定1级试题数应不少于10题。</w:t>
      </w:r>
    </w:p>
    <w:p w14:paraId="2D054F71">
      <w:pPr>
        <w:pStyle w:val="24"/>
        <w:rPr>
          <w:color w:val="0000FF"/>
        </w:rPr>
      </w:pPr>
      <w:r>
        <w:rPr>
          <w:rFonts w:hint="eastAsia"/>
          <w:color w:val="0000FF"/>
        </w:rPr>
        <w:t>专业考试：限定1级试题数应不少于8题。</w:t>
      </w:r>
    </w:p>
    <w:p w14:paraId="1C664F1E">
      <w:pPr>
        <w:pStyle w:val="24"/>
        <w:rPr>
          <w:color w:val="0000FF"/>
          <w:szCs w:val="21"/>
        </w:rPr>
      </w:pPr>
      <w:r>
        <w:rPr>
          <w:rFonts w:hint="eastAsia"/>
          <w:color w:val="0000FF"/>
        </w:rPr>
        <w:t>实际操作考试：申请人按照作业指导书处理试样，证明其熟练性。</w:t>
      </w:r>
      <w:r>
        <w:rPr>
          <w:color w:val="0000FF"/>
        </w:rPr>
        <w:t>针对所申请认证的每种技术和每种零件构型，至少</w:t>
      </w:r>
      <w:r>
        <w:rPr>
          <w:rFonts w:hint="eastAsia"/>
          <w:color w:val="0000FF"/>
        </w:rPr>
        <w:t>处理一个试样。考试试样应符合章节3.39的定义并能代表申请人为其雇主执行职责时针对的产品。</w:t>
      </w:r>
      <w:r>
        <w:rPr>
          <w:rFonts w:hint="eastAsia"/>
          <w:color w:val="0000FF"/>
          <w:szCs w:val="21"/>
        </w:rPr>
        <w:t>如果经责任3级人员批准为可以接收或拒收零件，申请人应解释和记录试样的检测结果。</w:t>
      </w:r>
      <w:r>
        <w:rPr>
          <w:rFonts w:hint="eastAsia"/>
          <w:color w:val="0000FF"/>
        </w:rPr>
        <w:t>考试检查单应包括申请人对材料及设备使用和调校的熟练程度、对工艺规程细节的遵循情况，以</w:t>
      </w:r>
      <w:r>
        <w:rPr>
          <w:rFonts w:hint="eastAsia"/>
          <w:color w:val="0000FF"/>
          <w:szCs w:val="21"/>
        </w:rPr>
        <w:t>及必要时解释和评价显示的熟练程度</w:t>
      </w:r>
      <w:r>
        <w:rPr>
          <w:rFonts w:hint="eastAsia"/>
          <w:color w:val="0000FF"/>
        </w:rPr>
        <w:t>。</w:t>
      </w:r>
    </w:p>
    <w:p w14:paraId="0B0C35F9">
      <w:pPr>
        <w:pStyle w:val="103"/>
        <w:spacing w:before="156" w:after="156"/>
        <w:ind w:left="0"/>
        <w:rPr>
          <w:color w:val="0000FF"/>
        </w:rPr>
      </w:pPr>
      <w:bookmarkStart w:id="1308" w:name="_Toc225885758"/>
      <w:bookmarkStart w:id="1309" w:name="_Toc240124654"/>
      <w:r>
        <w:rPr>
          <w:rFonts w:hint="eastAsia"/>
          <w:color w:val="0000FF"/>
        </w:rPr>
        <w:t>记录</w:t>
      </w:r>
      <w:bookmarkEnd w:id="1308"/>
      <w:bookmarkEnd w:id="1309"/>
    </w:p>
    <w:p w14:paraId="0581A036">
      <w:pPr>
        <w:pStyle w:val="24"/>
        <w:rPr>
          <w:color w:val="0000FF"/>
        </w:rPr>
      </w:pPr>
      <w:r>
        <w:rPr>
          <w:rFonts w:hint="eastAsia"/>
          <w:color w:val="0000FF"/>
        </w:rPr>
        <w:t>对于限定1级认证，雇主应在认证有效期内保存下列记录：</w:t>
      </w:r>
    </w:p>
    <w:p w14:paraId="00252C51">
      <w:pPr>
        <w:pStyle w:val="48"/>
        <w:rPr>
          <w:color w:val="0000FF"/>
        </w:rPr>
      </w:pPr>
      <w:r>
        <w:rPr>
          <w:rFonts w:hint="eastAsia"/>
          <w:color w:val="0000FF"/>
        </w:rPr>
        <w:t>被认证人姓名；</w:t>
      </w:r>
    </w:p>
    <w:p w14:paraId="2D21C74A">
      <w:pPr>
        <w:pStyle w:val="48"/>
        <w:rPr>
          <w:color w:val="0000FF"/>
        </w:rPr>
      </w:pPr>
      <w:r>
        <w:rPr>
          <w:rFonts w:hint="eastAsia"/>
          <w:color w:val="0000FF"/>
        </w:rPr>
        <w:t>被认证人最新的书面和实际操作考试以及前一次考试的成绩；</w:t>
      </w:r>
    </w:p>
    <w:p w14:paraId="15B1DF0F">
      <w:pPr>
        <w:pStyle w:val="48"/>
        <w:rPr>
          <w:color w:val="0000FF"/>
        </w:rPr>
      </w:pPr>
      <w:r>
        <w:rPr>
          <w:rFonts w:hint="eastAsia"/>
          <w:color w:val="0000FF"/>
        </w:rPr>
        <w:t>当前认证的日期和有效期，认证被中止或作废的日期和原因应备案。如果适用，认证恢复的日期和措施也应备案；</w:t>
      </w:r>
    </w:p>
    <w:p w14:paraId="456400D6">
      <w:pPr>
        <w:pStyle w:val="48"/>
        <w:rPr>
          <w:color w:val="0000FF"/>
        </w:rPr>
      </w:pPr>
      <w:r>
        <w:rPr>
          <w:rFonts w:hint="eastAsia"/>
          <w:color w:val="0000FF"/>
        </w:rPr>
        <w:t>培训和经历时长；</w:t>
      </w:r>
    </w:p>
    <w:p w14:paraId="71ACA091">
      <w:pPr>
        <w:pStyle w:val="48"/>
        <w:rPr>
          <w:color w:val="0000FF"/>
        </w:rPr>
      </w:pPr>
      <w:r>
        <w:rPr>
          <w:rFonts w:hint="eastAsia"/>
          <w:color w:val="0000FF"/>
        </w:rPr>
        <w:t>逐项认证的正当理由以及认可工程机构的批准；</w:t>
      </w:r>
    </w:p>
    <w:p w14:paraId="3F82BC45">
      <w:pPr>
        <w:pStyle w:val="48"/>
        <w:rPr>
          <w:color w:val="0000FF"/>
        </w:rPr>
      </w:pPr>
      <w:r>
        <w:rPr>
          <w:rFonts w:hint="eastAsia"/>
          <w:color w:val="0000FF"/>
        </w:rPr>
        <w:t>认证期限（最长两年）；</w:t>
      </w:r>
    </w:p>
    <w:p w14:paraId="413FAB54">
      <w:pPr>
        <w:pStyle w:val="48"/>
        <w:rPr>
          <w:color w:val="0000FF"/>
        </w:rPr>
      </w:pPr>
      <w:r>
        <w:rPr>
          <w:rFonts w:hint="eastAsia"/>
          <w:color w:val="0000FF"/>
        </w:rPr>
        <w:t>执行的专项NDT检测；</w:t>
      </w:r>
    </w:p>
    <w:p w14:paraId="646A5E61">
      <w:pPr>
        <w:pStyle w:val="48"/>
        <w:rPr>
          <w:color w:val="0000FF"/>
        </w:rPr>
      </w:pPr>
      <w:r>
        <w:rPr>
          <w:rFonts w:hint="eastAsia"/>
          <w:color w:val="0000FF"/>
        </w:rPr>
        <w:t>专项检测的零部件，如适用，接收和拒收零件的许可；</w:t>
      </w:r>
    </w:p>
    <w:p w14:paraId="00428762">
      <w:pPr>
        <w:pStyle w:val="48"/>
        <w:rPr>
          <w:color w:val="0000FF"/>
        </w:rPr>
      </w:pPr>
      <w:r>
        <w:rPr>
          <w:rFonts w:hint="eastAsia"/>
          <w:color w:val="0000FF"/>
        </w:rPr>
        <w:t>当前有效的近距离视力和辨色力检查结果；</w:t>
      </w:r>
    </w:p>
    <w:p w14:paraId="46B17B76">
      <w:pPr>
        <w:pStyle w:val="48"/>
        <w:rPr>
          <w:color w:val="0000FF"/>
        </w:rPr>
      </w:pPr>
      <w:r>
        <w:rPr>
          <w:rFonts w:hint="eastAsia"/>
          <w:color w:val="0000FF"/>
        </w:rPr>
        <w:t>签发认证的雇主代表的姓名和签名；</w:t>
      </w:r>
    </w:p>
    <w:p w14:paraId="68AB2CD6">
      <w:pPr>
        <w:pStyle w:val="48"/>
        <w:rPr>
          <w:color w:val="0000FF"/>
        </w:rPr>
      </w:pPr>
      <w:r>
        <w:rPr>
          <w:rFonts w:hint="eastAsia"/>
          <w:color w:val="0000FF"/>
        </w:rPr>
        <w:t>最近一次年度技能评审结果。</w:t>
      </w:r>
    </w:p>
    <w:p w14:paraId="5925E70C">
      <w:pPr>
        <w:pStyle w:val="103"/>
        <w:spacing w:before="156" w:after="156"/>
        <w:ind w:left="0"/>
        <w:rPr>
          <w:color w:val="0000FF"/>
        </w:rPr>
      </w:pPr>
      <w:bookmarkStart w:id="1310" w:name="_Toc240124655"/>
      <w:bookmarkStart w:id="1311" w:name="_Toc225885759"/>
      <w:r>
        <w:rPr>
          <w:rFonts w:hint="eastAsia"/>
          <w:color w:val="0000FF"/>
        </w:rPr>
        <w:t>重新认证</w:t>
      </w:r>
      <w:bookmarkEnd w:id="1310"/>
      <w:bookmarkEnd w:id="1311"/>
    </w:p>
    <w:p w14:paraId="28600EA2">
      <w:pPr>
        <w:pStyle w:val="24"/>
        <w:rPr>
          <w:color w:val="0000FF"/>
        </w:rPr>
      </w:pPr>
      <w:r>
        <w:rPr>
          <w:rFonts w:hint="eastAsia"/>
          <w:color w:val="0000FF"/>
        </w:rPr>
        <w:t>限定1级人员在间隔不超过</w:t>
      </w:r>
      <w:r>
        <w:rPr>
          <w:color w:val="0000FF"/>
        </w:rPr>
        <w:t>2</w:t>
      </w:r>
      <w:r>
        <w:rPr>
          <w:rFonts w:hint="eastAsia"/>
          <w:color w:val="0000FF"/>
        </w:rPr>
        <w:t>年时，应重新</w:t>
      </w:r>
      <w:r>
        <w:rPr>
          <w:rFonts w:hint="eastAsia" w:hAnsi="Arial"/>
          <w:color w:val="0000FF"/>
        </w:rPr>
        <w:t>认证</w:t>
      </w:r>
      <w:r>
        <w:rPr>
          <w:rFonts w:hint="eastAsia"/>
          <w:color w:val="0000FF"/>
        </w:rPr>
        <w:t>。应以成功通过专业考试和实际操作考试来进行重新认证。</w:t>
      </w:r>
    </w:p>
    <w:p w14:paraId="5150157D">
      <w:pPr>
        <w:pStyle w:val="24"/>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br w:type="page"/>
      </w:r>
    </w:p>
    <w:p w14:paraId="2E94050F">
      <w:pPr>
        <w:pStyle w:val="24"/>
        <w:ind w:firstLine="0" w:firstLineChars="0"/>
      </w:pPr>
      <w:bookmarkStart w:id="1312" w:name="_Toc225884738"/>
      <w:bookmarkEnd w:id="1312"/>
      <w:bookmarkStart w:id="1313" w:name="_Toc225884944"/>
      <w:bookmarkEnd w:id="1313"/>
      <w:bookmarkStart w:id="1314" w:name="_Toc225884737"/>
      <w:bookmarkEnd w:id="1314"/>
      <w:bookmarkStart w:id="1315" w:name="_Toc225885354"/>
      <w:bookmarkEnd w:id="1315"/>
      <w:bookmarkStart w:id="1316" w:name="_Toc225885561"/>
      <w:bookmarkEnd w:id="1316"/>
      <w:bookmarkStart w:id="1317" w:name="_Toc225885760"/>
      <w:bookmarkEnd w:id="1317"/>
      <w:bookmarkStart w:id="1318" w:name="_Toc225884943"/>
      <w:bookmarkEnd w:id="1318"/>
      <w:bookmarkStart w:id="1319" w:name="_Toc225885147"/>
      <w:bookmarkEnd w:id="1319"/>
      <w:bookmarkStart w:id="1320" w:name="_Toc225884532"/>
      <w:bookmarkEnd w:id="1320"/>
      <w:bookmarkStart w:id="1321" w:name="_Toc225884531"/>
      <w:bookmarkEnd w:id="1321"/>
      <w:bookmarkStart w:id="1322" w:name="_Toc225884949"/>
      <w:bookmarkEnd w:id="1322"/>
      <w:bookmarkStart w:id="1323" w:name="_Toc225884740"/>
      <w:bookmarkEnd w:id="1323"/>
      <w:bookmarkStart w:id="1324" w:name="_Toc225884742"/>
      <w:bookmarkEnd w:id="1324"/>
      <w:bookmarkStart w:id="1325" w:name="_Toc225885764"/>
      <w:bookmarkEnd w:id="1325"/>
      <w:bookmarkStart w:id="1326" w:name="_Toc225885148"/>
      <w:bookmarkEnd w:id="1326"/>
      <w:bookmarkStart w:id="1327" w:name="_Toc225884534"/>
      <w:bookmarkEnd w:id="1327"/>
      <w:bookmarkStart w:id="1328" w:name="_Toc225885563"/>
      <w:bookmarkEnd w:id="1328"/>
      <w:bookmarkStart w:id="1329" w:name="_Toc225885762"/>
      <w:bookmarkEnd w:id="1329"/>
      <w:bookmarkStart w:id="1330" w:name="_Toc225885151"/>
      <w:bookmarkEnd w:id="1330"/>
      <w:bookmarkStart w:id="1331" w:name="_Toc225884739"/>
      <w:bookmarkEnd w:id="1331"/>
      <w:bookmarkStart w:id="1332" w:name="_Toc225884537"/>
      <w:bookmarkEnd w:id="1332"/>
      <w:bookmarkStart w:id="1333" w:name="_Toc225885766"/>
      <w:bookmarkEnd w:id="1333"/>
      <w:bookmarkStart w:id="1334" w:name="_Toc225884946"/>
      <w:bookmarkEnd w:id="1334"/>
      <w:bookmarkStart w:id="1335" w:name="_Toc225885566"/>
      <w:bookmarkEnd w:id="1335"/>
      <w:bookmarkStart w:id="1336" w:name="_Toc225884945"/>
      <w:bookmarkEnd w:id="1336"/>
      <w:bookmarkStart w:id="1337" w:name="_Toc225885355"/>
      <w:bookmarkEnd w:id="1337"/>
      <w:bookmarkStart w:id="1338" w:name="_Toc225885564"/>
      <w:bookmarkEnd w:id="1338"/>
      <w:bookmarkStart w:id="1339" w:name="_Toc225885150"/>
      <w:bookmarkEnd w:id="1339"/>
      <w:bookmarkStart w:id="1340" w:name="_Toc225885763"/>
      <w:bookmarkEnd w:id="1340"/>
      <w:bookmarkStart w:id="1341" w:name="_Toc225885359"/>
      <w:bookmarkEnd w:id="1341"/>
      <w:bookmarkStart w:id="1342" w:name="_Toc225885152"/>
      <w:bookmarkEnd w:id="1342"/>
      <w:bookmarkStart w:id="1343" w:name="_Toc225885360"/>
      <w:bookmarkEnd w:id="1343"/>
      <w:bookmarkStart w:id="1344" w:name="_Toc225885562"/>
      <w:bookmarkEnd w:id="1344"/>
      <w:bookmarkStart w:id="1345" w:name="_Toc225885149"/>
      <w:bookmarkEnd w:id="1345"/>
      <w:bookmarkStart w:id="1346" w:name="_Toc225884947"/>
      <w:bookmarkEnd w:id="1346"/>
      <w:bookmarkStart w:id="1347" w:name="_Toc225885565"/>
      <w:bookmarkEnd w:id="1347"/>
      <w:bookmarkStart w:id="1348" w:name="_Toc225885153"/>
      <w:bookmarkEnd w:id="1348"/>
      <w:bookmarkStart w:id="1349" w:name="_Toc225884533"/>
      <w:bookmarkEnd w:id="1349"/>
      <w:bookmarkStart w:id="1350" w:name="_Toc225884741"/>
      <w:bookmarkEnd w:id="1350"/>
      <w:bookmarkStart w:id="1351" w:name="_Toc225885356"/>
      <w:bookmarkEnd w:id="1351"/>
      <w:bookmarkStart w:id="1352" w:name="_Toc225885567"/>
      <w:bookmarkEnd w:id="1352"/>
      <w:bookmarkStart w:id="1353" w:name="_Toc225885765"/>
      <w:bookmarkEnd w:id="1353"/>
      <w:bookmarkStart w:id="1354" w:name="_Toc225884743"/>
      <w:bookmarkEnd w:id="1354"/>
      <w:bookmarkStart w:id="1355" w:name="_Toc225884948"/>
      <w:bookmarkEnd w:id="1355"/>
      <w:bookmarkStart w:id="1356" w:name="_Toc225884535"/>
      <w:bookmarkEnd w:id="1356"/>
      <w:bookmarkStart w:id="1357" w:name="_Toc225884536"/>
      <w:bookmarkEnd w:id="1357"/>
      <w:bookmarkStart w:id="1358" w:name="_Toc225885357"/>
      <w:bookmarkEnd w:id="1358"/>
      <w:bookmarkStart w:id="1359" w:name="_Toc225885761"/>
      <w:bookmarkEnd w:id="1359"/>
      <w:bookmarkStart w:id="1360" w:name="_Toc225885358"/>
      <w:bookmarkEnd w:id="1360"/>
    </w:p>
    <w:p w14:paraId="48561311">
      <w:pPr>
        <w:pStyle w:val="84"/>
        <w:spacing w:before="0" w:after="0"/>
      </w:pPr>
      <w:bookmarkStart w:id="1361" w:name="_Toc240124656"/>
      <w:bookmarkEnd w:id="1361"/>
    </w:p>
    <w:p w14:paraId="6E016002">
      <w:pPr>
        <w:pStyle w:val="24"/>
        <w:ind w:firstLine="0" w:firstLineChars="0"/>
        <w:jc w:val="center"/>
        <w:rPr>
          <w:rFonts w:ascii="黑体" w:hAnsi="黑体" w:eastAsia="黑体"/>
        </w:rPr>
      </w:pPr>
      <w:r>
        <w:rPr>
          <w:rFonts w:hint="eastAsia" w:hAnsi="黑体"/>
          <w:color w:val="000000" w:themeColor="text1"/>
          <w14:textFill>
            <w14:solidFill>
              <w14:schemeClr w14:val="tx1"/>
            </w14:solidFill>
          </w14:textFill>
        </w:rPr>
        <w:t>（</w:t>
      </w:r>
      <w:r>
        <w:rPr>
          <w:rFonts w:hint="eastAsia" w:hAnsi="黑体"/>
          <w:color w:val="0000FF"/>
        </w:rPr>
        <w:t>规范性附录）</w:t>
      </w:r>
      <w:r>
        <w:rPr>
          <w:rFonts w:hAnsi="黑体"/>
          <w:color w:val="0000FF"/>
        </w:rPr>
        <w:br w:type="textWrapping"/>
      </w:r>
      <w:r>
        <w:rPr>
          <w:rFonts w:hint="eastAsia" w:hAnsi="黑体"/>
          <w:color w:val="0000FF"/>
        </w:rPr>
        <w:t>初始3级鉴定资格的学分体系</w:t>
      </w:r>
    </w:p>
    <w:p w14:paraId="45CD28F5">
      <w:pPr>
        <w:pStyle w:val="102"/>
        <w:spacing w:before="312" w:after="312"/>
        <w:rPr>
          <w:color w:val="0000FF"/>
        </w:rPr>
      </w:pPr>
      <w:bookmarkStart w:id="1362" w:name="_Toc225885773"/>
      <w:bookmarkStart w:id="1363" w:name="_Toc240124657"/>
      <w:r>
        <w:rPr>
          <w:rFonts w:hint="eastAsia"/>
          <w:color w:val="0000FF"/>
        </w:rPr>
        <w:t>范围</w:t>
      </w:r>
      <w:bookmarkEnd w:id="1362"/>
      <w:bookmarkEnd w:id="1363"/>
    </w:p>
    <w:p w14:paraId="6AA91F22">
      <w:pPr>
        <w:pStyle w:val="24"/>
        <w:rPr>
          <w:color w:val="0000FF"/>
          <w:szCs w:val="21"/>
        </w:rPr>
      </w:pPr>
      <w:r>
        <w:rPr>
          <w:rFonts w:hint="eastAsia" w:ascii="Times New Roman"/>
          <w:bCs/>
          <w:color w:val="0000FF"/>
          <w:szCs w:val="21"/>
        </w:rPr>
        <w:t>本附录规定了采用基于能力的学分体系替代表5所列经历要求，进行</w:t>
      </w:r>
      <w:r>
        <w:rPr>
          <w:rFonts w:ascii="Times New Roman"/>
          <w:bCs/>
          <w:color w:val="0000FF"/>
          <w:szCs w:val="21"/>
        </w:rPr>
        <w:t>3</w:t>
      </w:r>
      <w:r>
        <w:rPr>
          <w:rFonts w:hint="eastAsia" w:ascii="Times New Roman"/>
          <w:bCs/>
          <w:color w:val="0000FF"/>
          <w:szCs w:val="21"/>
        </w:rPr>
        <w:t>级初始鉴定的要求。该体系仅适用于持有相应方法有效</w:t>
      </w:r>
      <w:r>
        <w:rPr>
          <w:rFonts w:ascii="Times New Roman"/>
          <w:bCs/>
          <w:color w:val="0000FF"/>
          <w:szCs w:val="21"/>
        </w:rPr>
        <w:t>2</w:t>
      </w:r>
      <w:r>
        <w:rPr>
          <w:rFonts w:hint="eastAsia" w:ascii="Times New Roman"/>
          <w:bCs/>
          <w:color w:val="0000FF"/>
          <w:szCs w:val="21"/>
        </w:rPr>
        <w:t>级资质的无损检测人员，且仅适用于该方法的</w:t>
      </w:r>
      <w:r>
        <w:rPr>
          <w:rFonts w:ascii="Times New Roman"/>
          <w:bCs/>
          <w:color w:val="0000FF"/>
          <w:szCs w:val="21"/>
        </w:rPr>
        <w:t>3</w:t>
      </w:r>
      <w:r>
        <w:rPr>
          <w:rFonts w:hint="eastAsia" w:ascii="Times New Roman"/>
          <w:bCs/>
          <w:color w:val="0000FF"/>
          <w:szCs w:val="21"/>
        </w:rPr>
        <w:t>级初始认证。通过学分进行重新认证的程序仍需遵循附录A的规定。采用本附录不豁免申请人参加本文件第</w:t>
      </w:r>
      <w:r>
        <w:rPr>
          <w:rFonts w:ascii="Times New Roman"/>
          <w:bCs/>
          <w:color w:val="0000FF"/>
          <w:szCs w:val="21"/>
        </w:rPr>
        <w:t>2.3</w:t>
      </w:r>
      <w:r>
        <w:rPr>
          <w:rFonts w:hint="eastAsia" w:ascii="Times New Roman"/>
          <w:bCs/>
          <w:color w:val="0000FF"/>
          <w:szCs w:val="21"/>
        </w:rPr>
        <w:t>条规定的考试。</w:t>
      </w:r>
    </w:p>
    <w:p w14:paraId="751C5D46">
      <w:pPr>
        <w:pStyle w:val="102"/>
        <w:spacing w:before="312" w:after="312"/>
        <w:rPr>
          <w:color w:val="0000FF"/>
        </w:rPr>
      </w:pPr>
      <w:bookmarkStart w:id="1364" w:name="_Toc240124658"/>
      <w:bookmarkStart w:id="1365" w:name="_Toc225885774"/>
      <w:r>
        <w:rPr>
          <w:rFonts w:hint="eastAsia"/>
          <w:color w:val="0000FF"/>
        </w:rPr>
        <w:t>要求</w:t>
      </w:r>
      <w:bookmarkEnd w:id="1364"/>
      <w:bookmarkEnd w:id="1365"/>
    </w:p>
    <w:p w14:paraId="5C334548">
      <w:pPr>
        <w:pStyle w:val="24"/>
        <w:rPr>
          <w:rFonts w:ascii="Times New Roman"/>
          <w:bCs/>
          <w:color w:val="0000FF"/>
          <w:szCs w:val="21"/>
        </w:rPr>
      </w:pPr>
      <w:r>
        <w:rPr>
          <w:rFonts w:hint="eastAsia" w:ascii="Times New Roman"/>
          <w:bCs/>
          <w:color w:val="0000FF"/>
          <w:szCs w:val="21"/>
        </w:rPr>
        <w:t>根据表D.1规定，申请某种检测方法</w:t>
      </w:r>
      <w:r>
        <w:rPr>
          <w:rFonts w:ascii="Times New Roman"/>
          <w:bCs/>
          <w:color w:val="0000FF"/>
          <w:szCs w:val="21"/>
        </w:rPr>
        <w:t>3</w:t>
      </w:r>
      <w:r>
        <w:rPr>
          <w:rFonts w:hint="eastAsia" w:ascii="Times New Roman"/>
          <w:bCs/>
          <w:color w:val="0000FF"/>
          <w:szCs w:val="21"/>
        </w:rPr>
        <w:t>级考试资格，报考人需在该方法</w:t>
      </w:r>
      <w:r>
        <w:rPr>
          <w:rFonts w:ascii="Times New Roman"/>
          <w:bCs/>
          <w:color w:val="0000FF"/>
          <w:szCs w:val="21"/>
        </w:rPr>
        <w:t>2</w:t>
      </w:r>
      <w:r>
        <w:rPr>
          <w:rFonts w:hint="eastAsia" w:ascii="Times New Roman"/>
          <w:bCs/>
          <w:color w:val="0000FF"/>
          <w:szCs w:val="21"/>
        </w:rPr>
        <w:t>级资质期间累计获得</w:t>
      </w:r>
      <w:r>
        <w:rPr>
          <w:rFonts w:ascii="Times New Roman"/>
          <w:bCs/>
          <w:color w:val="0000FF"/>
          <w:szCs w:val="21"/>
        </w:rPr>
        <w:t>36</w:t>
      </w:r>
      <w:r>
        <w:rPr>
          <w:rFonts w:hint="eastAsia" w:ascii="Times New Roman"/>
          <w:bCs/>
          <w:color w:val="0000FF"/>
          <w:szCs w:val="21"/>
        </w:rPr>
        <w:t>学分，且其中</w:t>
      </w:r>
      <w:r>
        <w:rPr>
          <w:rFonts w:ascii="Times New Roman"/>
          <w:bCs/>
          <w:color w:val="0000FF"/>
          <w:szCs w:val="21"/>
        </w:rPr>
        <w:t>20</w:t>
      </w:r>
      <w:r>
        <w:rPr>
          <w:rFonts w:hint="eastAsia" w:ascii="Times New Roman"/>
          <w:bCs/>
          <w:color w:val="0000FF"/>
          <w:szCs w:val="21"/>
        </w:rPr>
        <w:t>学分必须来自如下所列的至少应获得的学分活动。</w:t>
      </w:r>
    </w:p>
    <w:p w14:paraId="35F5C8ED">
      <w:pPr>
        <w:pStyle w:val="24"/>
        <w:rPr>
          <w:color w:val="0000FF"/>
          <w:szCs w:val="21"/>
        </w:rPr>
      </w:pPr>
      <w:r>
        <w:rPr>
          <w:rFonts w:hint="eastAsia"/>
          <w:color w:val="0000FF"/>
          <w:szCs w:val="21"/>
        </w:rPr>
        <w:t>考生需记录所有相关3级工作任务，并通过参与表D.1所列活动组合累积至少36学分。先前累计学分经核实后，可予以部分或全部采纳。</w:t>
      </w:r>
    </w:p>
    <w:p w14:paraId="312A09E9">
      <w:pPr>
        <w:pStyle w:val="24"/>
        <w:rPr>
          <w:rFonts w:ascii="Times New Roman"/>
          <w:bCs/>
          <w:color w:val="0000FF"/>
          <w:szCs w:val="21"/>
        </w:rPr>
      </w:pPr>
      <w:r>
        <w:rPr>
          <w:rFonts w:hint="eastAsia" w:ascii="Times New Roman"/>
          <w:bCs/>
          <w:color w:val="0000FF"/>
          <w:szCs w:val="21"/>
        </w:rPr>
        <w:t>工作任务应为报考人履行职责过程中的典型工作。</w:t>
      </w:r>
    </w:p>
    <w:p w14:paraId="34CAF302">
      <w:pPr>
        <w:pStyle w:val="24"/>
        <w:rPr>
          <w:rFonts w:ascii="Times New Roman"/>
          <w:bCs/>
          <w:color w:val="0000FF"/>
          <w:szCs w:val="21"/>
        </w:rPr>
      </w:pPr>
      <w:r>
        <w:rPr>
          <w:rFonts w:hint="eastAsia" w:ascii="Times New Roman"/>
          <w:bCs/>
          <w:color w:val="0000FF"/>
          <w:szCs w:val="21"/>
        </w:rPr>
        <w:t>报考人在本附录框架下为获取学分而执行的任何任务，均须按责任</w:t>
      </w:r>
      <w:r>
        <w:rPr>
          <w:rFonts w:ascii="Times New Roman"/>
          <w:bCs/>
          <w:color w:val="0000FF"/>
          <w:szCs w:val="21"/>
        </w:rPr>
        <w:t>3</w:t>
      </w:r>
      <w:r>
        <w:rPr>
          <w:rFonts w:hint="eastAsia" w:ascii="Times New Roman"/>
          <w:bCs/>
          <w:color w:val="0000FF"/>
          <w:szCs w:val="21"/>
        </w:rPr>
        <w:t>级人员的要求进行监督与批准。</w:t>
      </w:r>
    </w:p>
    <w:p w14:paraId="68D95284">
      <w:pPr>
        <w:pStyle w:val="24"/>
        <w:rPr>
          <w:rFonts w:ascii="Times New Roman"/>
          <w:bCs/>
          <w:color w:val="0000FF"/>
          <w:szCs w:val="21"/>
        </w:rPr>
      </w:pPr>
      <w:r>
        <w:rPr>
          <w:rFonts w:hint="eastAsia" w:ascii="Times New Roman"/>
          <w:bCs/>
          <w:color w:val="0000FF"/>
          <w:szCs w:val="21"/>
        </w:rPr>
        <w:t>表</w:t>
      </w:r>
      <w:r>
        <w:rPr>
          <w:rFonts w:ascii="Times New Roman"/>
          <w:bCs/>
          <w:color w:val="0000FF"/>
          <w:szCs w:val="21"/>
        </w:rPr>
        <w:t>D.1</w:t>
      </w:r>
      <w:r>
        <w:rPr>
          <w:rFonts w:hint="eastAsia" w:ascii="Times New Roman"/>
          <w:bCs/>
          <w:color w:val="0000FF"/>
          <w:szCs w:val="21"/>
        </w:rPr>
        <w:t>列出了各能力类别需累积的最低学分与总学分要求，以及各类别中活动的学分分配方案。单项活动仅可用于一次计分，不得重复用于多项活动或不同检测方法。</w:t>
      </w:r>
    </w:p>
    <w:p w14:paraId="743F7408">
      <w:pPr>
        <w:pStyle w:val="24"/>
        <w:rPr>
          <w:rFonts w:ascii="Times New Roman"/>
          <w:bCs/>
          <w:color w:val="0000FF"/>
          <w:szCs w:val="21"/>
        </w:rPr>
      </w:pPr>
      <w:r>
        <w:rPr>
          <w:rFonts w:hint="eastAsia" w:ascii="Times New Roman"/>
          <w:bCs/>
          <w:color w:val="0000FF"/>
          <w:szCs w:val="21"/>
        </w:rPr>
        <w:t>附录</w:t>
      </w:r>
      <w:r>
        <w:rPr>
          <w:rFonts w:ascii="Times New Roman"/>
          <w:bCs/>
          <w:color w:val="0000FF"/>
          <w:szCs w:val="21"/>
        </w:rPr>
        <w:t>D</w:t>
      </w:r>
      <w:r>
        <w:rPr>
          <w:rFonts w:hint="eastAsia" w:ascii="Times New Roman"/>
          <w:bCs/>
          <w:color w:val="0000FF"/>
          <w:szCs w:val="21"/>
        </w:rPr>
        <w:t>文件的批准由责任</w:t>
      </w:r>
      <w:r>
        <w:rPr>
          <w:rFonts w:ascii="Times New Roman"/>
          <w:bCs/>
          <w:color w:val="0000FF"/>
          <w:szCs w:val="21"/>
        </w:rPr>
        <w:t>3</w:t>
      </w:r>
      <w:r>
        <w:rPr>
          <w:rFonts w:hint="eastAsia" w:ascii="Times New Roman"/>
          <w:bCs/>
          <w:color w:val="0000FF"/>
          <w:szCs w:val="21"/>
        </w:rPr>
        <w:t>级人员或国家航空航天无损检测委员会（</w:t>
      </w:r>
      <w:r>
        <w:rPr>
          <w:rFonts w:ascii="Times New Roman"/>
          <w:bCs/>
          <w:color w:val="0000FF"/>
          <w:szCs w:val="21"/>
        </w:rPr>
        <w:t>NANDTB</w:t>
      </w:r>
      <w:r>
        <w:rPr>
          <w:rFonts w:hint="eastAsia" w:ascii="Times New Roman"/>
          <w:bCs/>
          <w:color w:val="0000FF"/>
          <w:szCs w:val="21"/>
        </w:rPr>
        <w:t>）确定并备案。</w:t>
      </w:r>
    </w:p>
    <w:p w14:paraId="41534E31">
      <w:pPr>
        <w:pStyle w:val="24"/>
        <w:rPr>
          <w:color w:val="0000FF"/>
          <w:szCs w:val="21"/>
        </w:rPr>
      </w:pPr>
      <w:r>
        <w:rPr>
          <w:rFonts w:hint="eastAsia" w:ascii="Times New Roman"/>
          <w:bCs/>
          <w:color w:val="0000FF"/>
          <w:szCs w:val="21"/>
        </w:rPr>
        <w:t>当</w:t>
      </w:r>
      <w:r>
        <w:rPr>
          <w:rFonts w:ascii="Times New Roman"/>
          <w:bCs/>
          <w:color w:val="0000FF"/>
          <w:szCs w:val="21"/>
        </w:rPr>
        <w:t>2</w:t>
      </w:r>
      <w:r>
        <w:rPr>
          <w:rFonts w:hint="eastAsia" w:ascii="Times New Roman"/>
          <w:bCs/>
          <w:color w:val="0000FF"/>
          <w:szCs w:val="21"/>
        </w:rPr>
        <w:t>级人员</w:t>
      </w:r>
      <w:r>
        <w:rPr>
          <w:rFonts w:ascii="Times New Roman"/>
          <w:bCs/>
          <w:color w:val="0000FF"/>
          <w:szCs w:val="21"/>
        </w:rPr>
        <w:t>采用附录</w:t>
      </w:r>
      <w:r>
        <w:rPr>
          <w:rFonts w:hint="eastAsia" w:ascii="Times New Roman"/>
          <w:bCs/>
          <w:color w:val="0000FF"/>
          <w:szCs w:val="21"/>
        </w:rPr>
        <w:t>D体系获取</w:t>
      </w:r>
      <w:r>
        <w:rPr>
          <w:rFonts w:ascii="Times New Roman"/>
          <w:bCs/>
          <w:color w:val="0000FF"/>
          <w:szCs w:val="21"/>
        </w:rPr>
        <w:t>3</w:t>
      </w:r>
      <w:r>
        <w:rPr>
          <w:rFonts w:hint="eastAsia" w:ascii="Times New Roman"/>
          <w:bCs/>
          <w:color w:val="0000FF"/>
          <w:szCs w:val="21"/>
        </w:rPr>
        <w:t>级鉴定资格时，无论何种检测方法，获取</w:t>
      </w:r>
      <w:r>
        <w:rPr>
          <w:rFonts w:ascii="Times New Roman"/>
          <w:bCs/>
          <w:color w:val="0000FF"/>
          <w:szCs w:val="21"/>
        </w:rPr>
        <w:t>3</w:t>
      </w:r>
      <w:r>
        <w:rPr>
          <w:rFonts w:hint="eastAsia" w:ascii="Times New Roman"/>
          <w:bCs/>
          <w:color w:val="0000FF"/>
          <w:szCs w:val="21"/>
        </w:rPr>
        <w:t>级资格鉴定的最短时限均为一年。</w:t>
      </w:r>
    </w:p>
    <w:p w14:paraId="33EB8E3C">
      <w:pPr>
        <w:pStyle w:val="24"/>
        <w:ind w:firstLine="0" w:firstLineChars="0"/>
      </w:pPr>
    </w:p>
    <w:p w14:paraId="6EBC64DE">
      <w:pPr>
        <w:pStyle w:val="24"/>
        <w:ind w:firstLine="0" w:firstLineChars="0"/>
      </w:pPr>
      <w:r>
        <w:br w:type="page"/>
      </w:r>
    </w:p>
    <w:p w14:paraId="4C768704">
      <w:pPr>
        <w:pStyle w:val="24"/>
        <w:ind w:firstLine="0" w:firstLineChars="0"/>
        <w:jc w:val="center"/>
        <w:rPr>
          <w:rFonts w:ascii="黑体" w:hAnsi="黑体" w:eastAsia="黑体"/>
          <w:color w:val="0000FF"/>
        </w:rPr>
      </w:pPr>
      <w:r>
        <w:rPr>
          <w:rFonts w:hint="eastAsia" w:ascii="黑体" w:hAnsi="黑体" w:eastAsia="黑体"/>
          <w:color w:val="0000FF"/>
        </w:rPr>
        <w:t>表D</w:t>
      </w:r>
      <w:r>
        <w:rPr>
          <w:rFonts w:ascii="黑体" w:hAnsi="黑体" w:eastAsia="黑体"/>
          <w:color w:val="0000FF"/>
        </w:rPr>
        <w:t xml:space="preserve">1 </w:t>
      </w:r>
      <w:r>
        <w:rPr>
          <w:rFonts w:hint="eastAsia" w:ascii="黑体" w:hAnsi="黑体" w:eastAsia="黑体"/>
          <w:color w:val="0000FF"/>
        </w:rPr>
        <w:t>初次3级鉴定资格的学分活动</w:t>
      </w:r>
    </w:p>
    <w:tbl>
      <w:tblPr>
        <w:tblStyle w:val="3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3402"/>
        <w:gridCol w:w="1985"/>
        <w:gridCol w:w="2261"/>
      </w:tblGrid>
      <w:tr w14:paraId="35223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tcPr>
          <w:p w14:paraId="7A2693B8">
            <w:pPr>
              <w:pStyle w:val="24"/>
              <w:ind w:firstLine="0" w:firstLineChars="0"/>
              <w:jc w:val="center"/>
              <w:rPr>
                <w:szCs w:val="18"/>
              </w:rPr>
            </w:pPr>
            <w:r>
              <w:rPr>
                <w:rFonts w:hint="eastAsia" w:ascii="Times New Roman"/>
                <w:b/>
                <w:color w:val="0000FF"/>
                <w:sz w:val="20"/>
                <w:szCs w:val="20"/>
              </w:rPr>
              <w:t>能力类别</w:t>
            </w:r>
          </w:p>
        </w:tc>
        <w:tc>
          <w:tcPr>
            <w:tcW w:w="3402" w:type="dxa"/>
          </w:tcPr>
          <w:p w14:paraId="34FDEFEF">
            <w:pPr>
              <w:pStyle w:val="24"/>
              <w:ind w:firstLine="0" w:firstLineChars="0"/>
              <w:jc w:val="center"/>
              <w:rPr>
                <w:szCs w:val="18"/>
              </w:rPr>
            </w:pPr>
            <w:r>
              <w:rPr>
                <w:rFonts w:hint="eastAsia" w:ascii="Times New Roman"/>
                <w:b/>
                <w:color w:val="0000FF"/>
                <w:sz w:val="20"/>
                <w:szCs w:val="20"/>
              </w:rPr>
              <w:t>活动</w:t>
            </w:r>
          </w:p>
        </w:tc>
        <w:tc>
          <w:tcPr>
            <w:tcW w:w="1985" w:type="dxa"/>
          </w:tcPr>
          <w:p w14:paraId="0CEA617E">
            <w:pPr>
              <w:pStyle w:val="24"/>
              <w:ind w:firstLine="0" w:firstLineChars="0"/>
              <w:jc w:val="center"/>
              <w:rPr>
                <w:szCs w:val="18"/>
              </w:rPr>
            </w:pPr>
            <w:r>
              <w:rPr>
                <w:rFonts w:hint="eastAsia" w:ascii="Times New Roman"/>
                <w:b/>
                <w:color w:val="0000FF"/>
                <w:sz w:val="20"/>
                <w:szCs w:val="20"/>
              </w:rPr>
              <w:t>分数</w:t>
            </w:r>
          </w:p>
        </w:tc>
        <w:tc>
          <w:tcPr>
            <w:tcW w:w="2261" w:type="dxa"/>
          </w:tcPr>
          <w:p w14:paraId="16AAE50F">
            <w:pPr>
              <w:pStyle w:val="24"/>
              <w:ind w:firstLine="0" w:firstLineChars="0"/>
              <w:rPr>
                <w:szCs w:val="18"/>
              </w:rPr>
            </w:pPr>
            <w:r>
              <w:rPr>
                <w:rFonts w:hint="eastAsia" w:ascii="Times New Roman"/>
                <w:b/>
                <w:color w:val="0000FF"/>
                <w:sz w:val="20"/>
                <w:szCs w:val="20"/>
              </w:rPr>
              <w:t>该类别至少应累积分数</w:t>
            </w:r>
          </w:p>
        </w:tc>
      </w:tr>
      <w:tr w14:paraId="4414D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3" w:type="dxa"/>
            <w:gridSpan w:val="3"/>
          </w:tcPr>
          <w:p w14:paraId="7BF6B3AD">
            <w:pPr>
              <w:pStyle w:val="24"/>
              <w:ind w:firstLine="0" w:firstLineChars="0"/>
              <w:rPr>
                <w:szCs w:val="18"/>
              </w:rPr>
            </w:pPr>
            <w:r>
              <w:rPr>
                <w:rFonts w:hint="eastAsia"/>
                <w:color w:val="0000FF"/>
                <w:szCs w:val="18"/>
              </w:rPr>
              <w:t>程序文件</w:t>
            </w:r>
          </w:p>
        </w:tc>
        <w:tc>
          <w:tcPr>
            <w:tcW w:w="2261" w:type="dxa"/>
          </w:tcPr>
          <w:p w14:paraId="4257F9BF">
            <w:pPr>
              <w:pStyle w:val="24"/>
              <w:ind w:firstLine="0" w:firstLineChars="0"/>
              <w:jc w:val="center"/>
              <w:rPr>
                <w:color w:val="0000FF"/>
                <w:szCs w:val="18"/>
              </w:rPr>
            </w:pPr>
            <w:r>
              <w:rPr>
                <w:rFonts w:hint="eastAsia"/>
                <w:color w:val="0000FF"/>
                <w:szCs w:val="18"/>
              </w:rPr>
              <w:t>至少8分</w:t>
            </w:r>
          </w:p>
        </w:tc>
      </w:tr>
      <w:tr w14:paraId="044B2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vMerge w:val="restart"/>
          </w:tcPr>
          <w:p w14:paraId="6FAE13A4">
            <w:pPr>
              <w:pStyle w:val="24"/>
              <w:ind w:firstLine="0" w:firstLineChars="0"/>
              <w:rPr>
                <w:szCs w:val="18"/>
              </w:rPr>
            </w:pPr>
          </w:p>
        </w:tc>
        <w:tc>
          <w:tcPr>
            <w:tcW w:w="3402" w:type="dxa"/>
          </w:tcPr>
          <w:p w14:paraId="04346129">
            <w:pPr>
              <w:pStyle w:val="24"/>
              <w:ind w:firstLine="0" w:firstLineChars="0"/>
              <w:rPr>
                <w:szCs w:val="18"/>
              </w:rPr>
            </w:pPr>
            <w:r>
              <w:rPr>
                <w:rFonts w:hint="eastAsia" w:ascii="Times New Roman"/>
                <w:color w:val="0000FF"/>
                <w:sz w:val="20"/>
                <w:szCs w:val="20"/>
              </w:rPr>
              <w:t>编制工程规范</w:t>
            </w:r>
            <w:r>
              <w:rPr>
                <w:rFonts w:ascii="Times New Roman"/>
                <w:color w:val="0000FF"/>
                <w:sz w:val="20"/>
                <w:szCs w:val="20"/>
              </w:rPr>
              <w:t>*</w:t>
            </w:r>
          </w:p>
        </w:tc>
        <w:tc>
          <w:tcPr>
            <w:tcW w:w="1985" w:type="dxa"/>
          </w:tcPr>
          <w:p w14:paraId="688008A1">
            <w:pPr>
              <w:pStyle w:val="24"/>
              <w:ind w:firstLine="0" w:firstLineChars="0"/>
              <w:jc w:val="center"/>
              <w:rPr>
                <w:szCs w:val="18"/>
              </w:rPr>
            </w:pPr>
            <w:r>
              <w:rPr>
                <w:rFonts w:hint="eastAsia" w:ascii="Times New Roman"/>
                <w:color w:val="0000FF"/>
                <w:sz w:val="20"/>
                <w:szCs w:val="20"/>
              </w:rPr>
              <w:t>每份文件</w:t>
            </w:r>
            <w:r>
              <w:rPr>
                <w:rFonts w:ascii="Times New Roman"/>
                <w:color w:val="0000FF"/>
                <w:sz w:val="20"/>
                <w:szCs w:val="20"/>
              </w:rPr>
              <w:t>6</w:t>
            </w:r>
            <w:r>
              <w:rPr>
                <w:rFonts w:hint="eastAsia" w:ascii="Times New Roman"/>
                <w:color w:val="0000FF"/>
                <w:sz w:val="20"/>
                <w:szCs w:val="20"/>
              </w:rPr>
              <w:t>分</w:t>
            </w:r>
          </w:p>
        </w:tc>
        <w:tc>
          <w:tcPr>
            <w:tcW w:w="2261" w:type="dxa"/>
            <w:vMerge w:val="restart"/>
          </w:tcPr>
          <w:p w14:paraId="12D8052C">
            <w:pPr>
              <w:pStyle w:val="24"/>
              <w:ind w:firstLine="0" w:firstLineChars="0"/>
              <w:rPr>
                <w:szCs w:val="18"/>
              </w:rPr>
            </w:pPr>
          </w:p>
        </w:tc>
      </w:tr>
      <w:tr w14:paraId="01216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vMerge w:val="continue"/>
          </w:tcPr>
          <w:p w14:paraId="51FF9BFC">
            <w:pPr>
              <w:pStyle w:val="24"/>
              <w:ind w:firstLine="0" w:firstLineChars="0"/>
              <w:rPr>
                <w:szCs w:val="18"/>
              </w:rPr>
            </w:pPr>
          </w:p>
        </w:tc>
        <w:tc>
          <w:tcPr>
            <w:tcW w:w="3402" w:type="dxa"/>
          </w:tcPr>
          <w:p w14:paraId="560FF587">
            <w:pPr>
              <w:pStyle w:val="24"/>
              <w:ind w:firstLine="0" w:firstLineChars="0"/>
              <w:rPr>
                <w:szCs w:val="18"/>
              </w:rPr>
            </w:pPr>
            <w:r>
              <w:rPr>
                <w:rFonts w:hint="eastAsia" w:ascii="Times New Roman"/>
                <w:color w:val="0000FF"/>
                <w:sz w:val="20"/>
                <w:szCs w:val="20"/>
              </w:rPr>
              <w:t>编制新程序</w:t>
            </w:r>
            <w:r>
              <w:rPr>
                <w:rFonts w:ascii="Times New Roman"/>
                <w:color w:val="0000FF"/>
                <w:sz w:val="20"/>
                <w:szCs w:val="20"/>
              </w:rPr>
              <w:t>*</w:t>
            </w:r>
          </w:p>
        </w:tc>
        <w:tc>
          <w:tcPr>
            <w:tcW w:w="1985" w:type="dxa"/>
          </w:tcPr>
          <w:p w14:paraId="3D4B13DC">
            <w:pPr>
              <w:pStyle w:val="24"/>
              <w:ind w:firstLine="0" w:firstLineChars="0"/>
              <w:jc w:val="center"/>
              <w:rPr>
                <w:szCs w:val="18"/>
              </w:rPr>
            </w:pPr>
            <w:r>
              <w:rPr>
                <w:rFonts w:hint="eastAsia" w:ascii="Times New Roman"/>
                <w:color w:val="0000FF"/>
                <w:sz w:val="20"/>
                <w:szCs w:val="20"/>
              </w:rPr>
              <w:t>每份文件</w:t>
            </w:r>
            <w:r>
              <w:rPr>
                <w:rFonts w:ascii="Times New Roman"/>
                <w:color w:val="0000FF"/>
                <w:sz w:val="20"/>
                <w:szCs w:val="20"/>
              </w:rPr>
              <w:t>4</w:t>
            </w:r>
            <w:r>
              <w:rPr>
                <w:rFonts w:hint="eastAsia" w:ascii="Times New Roman"/>
                <w:color w:val="0000FF"/>
                <w:sz w:val="20"/>
                <w:szCs w:val="20"/>
              </w:rPr>
              <w:t>分</w:t>
            </w:r>
          </w:p>
        </w:tc>
        <w:tc>
          <w:tcPr>
            <w:tcW w:w="2261" w:type="dxa"/>
            <w:vMerge w:val="continue"/>
          </w:tcPr>
          <w:p w14:paraId="0445B445">
            <w:pPr>
              <w:pStyle w:val="24"/>
              <w:ind w:firstLine="0" w:firstLineChars="0"/>
              <w:rPr>
                <w:szCs w:val="18"/>
              </w:rPr>
            </w:pPr>
          </w:p>
        </w:tc>
      </w:tr>
      <w:tr w14:paraId="1B8E2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vMerge w:val="continue"/>
          </w:tcPr>
          <w:p w14:paraId="79F6C389">
            <w:pPr>
              <w:pStyle w:val="24"/>
              <w:ind w:firstLine="0" w:firstLineChars="0"/>
              <w:rPr>
                <w:szCs w:val="18"/>
              </w:rPr>
            </w:pPr>
          </w:p>
        </w:tc>
        <w:tc>
          <w:tcPr>
            <w:tcW w:w="3402" w:type="dxa"/>
          </w:tcPr>
          <w:p w14:paraId="0AB8633F">
            <w:pPr>
              <w:pStyle w:val="24"/>
              <w:ind w:firstLine="0" w:firstLineChars="0"/>
              <w:rPr>
                <w:szCs w:val="18"/>
              </w:rPr>
            </w:pPr>
            <w:r>
              <w:rPr>
                <w:rFonts w:hint="eastAsia" w:ascii="Times New Roman"/>
                <w:color w:val="0000FF"/>
                <w:sz w:val="20"/>
                <w:szCs w:val="20"/>
              </w:rPr>
              <w:t>编制新的检测计划或者操作指引</w:t>
            </w:r>
            <w:r>
              <w:rPr>
                <w:rFonts w:ascii="Times New Roman"/>
                <w:color w:val="0000FF"/>
                <w:sz w:val="20"/>
                <w:szCs w:val="20"/>
              </w:rPr>
              <w:t>*</w:t>
            </w:r>
          </w:p>
        </w:tc>
        <w:tc>
          <w:tcPr>
            <w:tcW w:w="1985" w:type="dxa"/>
          </w:tcPr>
          <w:p w14:paraId="5EC42C4B">
            <w:pPr>
              <w:pStyle w:val="24"/>
              <w:ind w:firstLine="0" w:firstLineChars="0"/>
              <w:jc w:val="center"/>
              <w:rPr>
                <w:szCs w:val="18"/>
              </w:rPr>
            </w:pPr>
            <w:r>
              <w:rPr>
                <w:rFonts w:hint="eastAsia" w:ascii="Times New Roman"/>
                <w:color w:val="0000FF"/>
                <w:sz w:val="20"/>
                <w:szCs w:val="20"/>
              </w:rPr>
              <w:t>每份文件2分</w:t>
            </w:r>
          </w:p>
        </w:tc>
        <w:tc>
          <w:tcPr>
            <w:tcW w:w="2261" w:type="dxa"/>
            <w:vMerge w:val="continue"/>
          </w:tcPr>
          <w:p w14:paraId="26E4333B">
            <w:pPr>
              <w:pStyle w:val="24"/>
              <w:ind w:firstLine="0" w:firstLineChars="0"/>
              <w:rPr>
                <w:szCs w:val="18"/>
              </w:rPr>
            </w:pPr>
          </w:p>
        </w:tc>
      </w:tr>
      <w:tr w14:paraId="7BCEC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vMerge w:val="continue"/>
          </w:tcPr>
          <w:p w14:paraId="38683A3E">
            <w:pPr>
              <w:pStyle w:val="24"/>
              <w:ind w:firstLine="0" w:firstLineChars="0"/>
              <w:rPr>
                <w:szCs w:val="18"/>
              </w:rPr>
            </w:pPr>
          </w:p>
        </w:tc>
        <w:tc>
          <w:tcPr>
            <w:tcW w:w="3402" w:type="dxa"/>
          </w:tcPr>
          <w:p w14:paraId="118F3205">
            <w:pPr>
              <w:pStyle w:val="24"/>
              <w:ind w:firstLine="0" w:firstLineChars="0"/>
              <w:rPr>
                <w:rFonts w:ascii="Times New Roman"/>
                <w:color w:val="0000FF"/>
                <w:sz w:val="20"/>
                <w:szCs w:val="18"/>
              </w:rPr>
            </w:pPr>
            <w:r>
              <w:rPr>
                <w:rFonts w:hint="eastAsia" w:ascii="Times New Roman"/>
                <w:color w:val="0000FF"/>
                <w:sz w:val="20"/>
                <w:szCs w:val="20"/>
              </w:rPr>
              <w:t>程序技术修订*</w:t>
            </w:r>
          </w:p>
        </w:tc>
        <w:tc>
          <w:tcPr>
            <w:tcW w:w="1985" w:type="dxa"/>
          </w:tcPr>
          <w:p w14:paraId="3D7EA6F5">
            <w:pPr>
              <w:pStyle w:val="24"/>
              <w:ind w:firstLine="0" w:firstLineChars="0"/>
              <w:jc w:val="center"/>
              <w:rPr>
                <w:szCs w:val="18"/>
              </w:rPr>
            </w:pPr>
            <w:r>
              <w:rPr>
                <w:rFonts w:hint="eastAsia" w:ascii="Times New Roman"/>
                <w:color w:val="0000FF"/>
                <w:sz w:val="20"/>
                <w:szCs w:val="20"/>
              </w:rPr>
              <w:t>每份文件1分</w:t>
            </w:r>
          </w:p>
        </w:tc>
        <w:tc>
          <w:tcPr>
            <w:tcW w:w="2261" w:type="dxa"/>
            <w:vMerge w:val="continue"/>
          </w:tcPr>
          <w:p w14:paraId="3ED7E73C">
            <w:pPr>
              <w:pStyle w:val="24"/>
              <w:ind w:firstLine="0" w:firstLineChars="0"/>
              <w:rPr>
                <w:szCs w:val="18"/>
              </w:rPr>
            </w:pPr>
          </w:p>
        </w:tc>
      </w:tr>
      <w:tr w14:paraId="369B3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3" w:type="dxa"/>
            <w:gridSpan w:val="3"/>
          </w:tcPr>
          <w:p w14:paraId="46CE5039">
            <w:pPr>
              <w:pStyle w:val="24"/>
              <w:ind w:firstLine="0" w:firstLineChars="0"/>
              <w:rPr>
                <w:szCs w:val="18"/>
              </w:rPr>
            </w:pPr>
            <w:r>
              <w:rPr>
                <w:rFonts w:hint="eastAsia"/>
                <w:color w:val="0000FF"/>
                <w:szCs w:val="18"/>
              </w:rPr>
              <w:t>继续教育/专业发展</w:t>
            </w:r>
          </w:p>
        </w:tc>
        <w:tc>
          <w:tcPr>
            <w:tcW w:w="2261" w:type="dxa"/>
          </w:tcPr>
          <w:p w14:paraId="73E86C9A">
            <w:pPr>
              <w:pStyle w:val="24"/>
              <w:ind w:firstLine="0" w:firstLineChars="0"/>
              <w:jc w:val="center"/>
              <w:rPr>
                <w:szCs w:val="18"/>
              </w:rPr>
            </w:pPr>
            <w:r>
              <w:rPr>
                <w:rFonts w:hint="eastAsia"/>
                <w:color w:val="0000FF"/>
                <w:szCs w:val="18"/>
              </w:rPr>
              <w:t>至少4分</w:t>
            </w:r>
          </w:p>
        </w:tc>
      </w:tr>
      <w:tr w14:paraId="5EEC4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tcPr>
          <w:p w14:paraId="7CAF9262">
            <w:pPr>
              <w:pStyle w:val="24"/>
              <w:ind w:firstLine="0" w:firstLineChars="0"/>
              <w:rPr>
                <w:szCs w:val="18"/>
              </w:rPr>
            </w:pPr>
          </w:p>
        </w:tc>
        <w:tc>
          <w:tcPr>
            <w:tcW w:w="3402" w:type="dxa"/>
          </w:tcPr>
          <w:p w14:paraId="768FACD7">
            <w:pPr>
              <w:pStyle w:val="24"/>
              <w:ind w:firstLine="0" w:firstLineChars="0"/>
              <w:rPr>
                <w:rFonts w:ascii="Times New Roman"/>
                <w:color w:val="0000FF"/>
                <w:sz w:val="20"/>
                <w:szCs w:val="18"/>
              </w:rPr>
            </w:pPr>
            <w:r>
              <w:rPr>
                <w:rFonts w:hint="eastAsia" w:ascii="Times New Roman"/>
                <w:color w:val="0000FF"/>
                <w:sz w:val="20"/>
                <w:szCs w:val="20"/>
              </w:rPr>
              <w:t>NDT学会会议、技术分会、委员会、技术培训、课程、研讨会</w:t>
            </w:r>
          </w:p>
        </w:tc>
        <w:tc>
          <w:tcPr>
            <w:tcW w:w="1985" w:type="dxa"/>
          </w:tcPr>
          <w:p w14:paraId="00E69C09">
            <w:pPr>
              <w:pStyle w:val="24"/>
              <w:ind w:firstLine="0" w:firstLineChars="0"/>
              <w:jc w:val="center"/>
              <w:rPr>
                <w:szCs w:val="18"/>
              </w:rPr>
            </w:pPr>
            <w:r>
              <w:rPr>
                <w:rFonts w:hint="eastAsia" w:ascii="Times New Roman"/>
                <w:color w:val="0000FF"/>
                <w:sz w:val="20"/>
                <w:szCs w:val="20"/>
              </w:rPr>
              <w:t>每4小时1分</w:t>
            </w:r>
          </w:p>
        </w:tc>
        <w:tc>
          <w:tcPr>
            <w:tcW w:w="2261" w:type="dxa"/>
          </w:tcPr>
          <w:p w14:paraId="29FCB659">
            <w:pPr>
              <w:pStyle w:val="24"/>
              <w:ind w:firstLine="0" w:firstLineChars="0"/>
              <w:rPr>
                <w:szCs w:val="18"/>
              </w:rPr>
            </w:pPr>
          </w:p>
        </w:tc>
      </w:tr>
      <w:tr w14:paraId="407AF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3" w:type="dxa"/>
            <w:gridSpan w:val="3"/>
          </w:tcPr>
          <w:p w14:paraId="2A5A6CD7">
            <w:pPr>
              <w:pStyle w:val="24"/>
              <w:ind w:firstLine="0" w:firstLineChars="0"/>
              <w:rPr>
                <w:color w:val="0000FF"/>
                <w:szCs w:val="18"/>
              </w:rPr>
            </w:pPr>
            <w:r>
              <w:rPr>
                <w:rFonts w:hint="eastAsia"/>
                <w:color w:val="0000FF"/>
                <w:szCs w:val="18"/>
              </w:rPr>
              <w:t>培训/资格鉴定</w:t>
            </w:r>
          </w:p>
        </w:tc>
        <w:tc>
          <w:tcPr>
            <w:tcW w:w="2261" w:type="dxa"/>
          </w:tcPr>
          <w:p w14:paraId="6A0E4507">
            <w:pPr>
              <w:pStyle w:val="24"/>
              <w:ind w:firstLine="0" w:firstLineChars="0"/>
              <w:jc w:val="center"/>
              <w:rPr>
                <w:color w:val="0000FF"/>
                <w:szCs w:val="18"/>
              </w:rPr>
            </w:pPr>
            <w:r>
              <w:rPr>
                <w:rFonts w:hint="eastAsia"/>
                <w:color w:val="0000FF"/>
                <w:szCs w:val="18"/>
              </w:rPr>
              <w:t>至少4分</w:t>
            </w:r>
          </w:p>
        </w:tc>
      </w:tr>
      <w:tr w14:paraId="46A1F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vMerge w:val="restart"/>
          </w:tcPr>
          <w:p w14:paraId="496E30E4">
            <w:pPr>
              <w:pStyle w:val="24"/>
              <w:ind w:firstLine="0" w:firstLineChars="0"/>
              <w:rPr>
                <w:szCs w:val="18"/>
              </w:rPr>
            </w:pPr>
          </w:p>
        </w:tc>
        <w:tc>
          <w:tcPr>
            <w:tcW w:w="3402" w:type="dxa"/>
          </w:tcPr>
          <w:p w14:paraId="23568933">
            <w:pPr>
              <w:pStyle w:val="24"/>
              <w:ind w:firstLine="0" w:firstLineChars="0"/>
              <w:rPr>
                <w:rFonts w:ascii="Times New Roman"/>
                <w:color w:val="0000FF"/>
                <w:sz w:val="20"/>
                <w:szCs w:val="18"/>
              </w:rPr>
            </w:pPr>
            <w:r>
              <w:rPr>
                <w:rFonts w:hint="eastAsia" w:ascii="Times New Roman"/>
                <w:color w:val="0000FF"/>
                <w:sz w:val="20"/>
                <w:szCs w:val="20"/>
              </w:rPr>
              <w:t>传授技术指引（课堂培训）</w:t>
            </w:r>
          </w:p>
        </w:tc>
        <w:tc>
          <w:tcPr>
            <w:tcW w:w="1985" w:type="dxa"/>
          </w:tcPr>
          <w:p w14:paraId="49DA325B">
            <w:pPr>
              <w:pStyle w:val="24"/>
              <w:ind w:firstLine="0" w:firstLineChars="0"/>
              <w:jc w:val="center"/>
              <w:rPr>
                <w:color w:val="0000FF"/>
                <w:szCs w:val="18"/>
              </w:rPr>
            </w:pPr>
            <w:r>
              <w:rPr>
                <w:rFonts w:hint="eastAsia" w:ascii="Times New Roman"/>
                <w:color w:val="0000FF"/>
                <w:sz w:val="20"/>
                <w:szCs w:val="20"/>
              </w:rPr>
              <w:t>每4小时1分</w:t>
            </w:r>
          </w:p>
        </w:tc>
        <w:tc>
          <w:tcPr>
            <w:tcW w:w="2261" w:type="dxa"/>
            <w:vMerge w:val="restart"/>
          </w:tcPr>
          <w:p w14:paraId="52CABC2D">
            <w:pPr>
              <w:pStyle w:val="24"/>
              <w:ind w:firstLine="0" w:firstLineChars="0"/>
              <w:rPr>
                <w:color w:val="0000FF"/>
                <w:szCs w:val="18"/>
              </w:rPr>
            </w:pPr>
          </w:p>
        </w:tc>
      </w:tr>
      <w:tr w14:paraId="71BB6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vMerge w:val="continue"/>
          </w:tcPr>
          <w:p w14:paraId="4DE0DE68">
            <w:pPr>
              <w:pStyle w:val="24"/>
              <w:ind w:firstLine="0" w:firstLineChars="0"/>
              <w:rPr>
                <w:szCs w:val="18"/>
              </w:rPr>
            </w:pPr>
          </w:p>
        </w:tc>
        <w:tc>
          <w:tcPr>
            <w:tcW w:w="3402" w:type="dxa"/>
          </w:tcPr>
          <w:p w14:paraId="46C127AE">
            <w:pPr>
              <w:pStyle w:val="24"/>
              <w:ind w:firstLine="0" w:firstLineChars="0"/>
              <w:rPr>
                <w:rFonts w:ascii="Times New Roman"/>
                <w:color w:val="0000FF"/>
                <w:sz w:val="20"/>
                <w:szCs w:val="18"/>
              </w:rPr>
            </w:pPr>
            <w:r>
              <w:rPr>
                <w:rFonts w:hint="eastAsia" w:ascii="Times New Roman"/>
                <w:color w:val="0000FF"/>
                <w:sz w:val="20"/>
                <w:szCs w:val="20"/>
              </w:rPr>
              <w:t>督导学员（岗位培训）</w:t>
            </w:r>
          </w:p>
        </w:tc>
        <w:tc>
          <w:tcPr>
            <w:tcW w:w="1985" w:type="dxa"/>
          </w:tcPr>
          <w:p w14:paraId="7B1C0743">
            <w:pPr>
              <w:pStyle w:val="24"/>
              <w:ind w:firstLine="0" w:firstLineChars="0"/>
              <w:jc w:val="center"/>
              <w:rPr>
                <w:color w:val="0000FF"/>
                <w:szCs w:val="18"/>
              </w:rPr>
            </w:pPr>
            <w:r>
              <w:rPr>
                <w:rFonts w:hint="eastAsia" w:ascii="Times New Roman"/>
                <w:color w:val="0000FF"/>
                <w:sz w:val="20"/>
                <w:szCs w:val="20"/>
              </w:rPr>
              <w:t>累计8小时1分</w:t>
            </w:r>
          </w:p>
        </w:tc>
        <w:tc>
          <w:tcPr>
            <w:tcW w:w="2261" w:type="dxa"/>
            <w:vMerge w:val="continue"/>
          </w:tcPr>
          <w:p w14:paraId="7D4F995C">
            <w:pPr>
              <w:pStyle w:val="24"/>
              <w:ind w:firstLine="0" w:firstLineChars="0"/>
              <w:rPr>
                <w:color w:val="0000FF"/>
                <w:szCs w:val="18"/>
              </w:rPr>
            </w:pPr>
          </w:p>
        </w:tc>
      </w:tr>
      <w:tr w14:paraId="272C8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vMerge w:val="continue"/>
          </w:tcPr>
          <w:p w14:paraId="3C7A6E40">
            <w:pPr>
              <w:pStyle w:val="24"/>
              <w:ind w:firstLine="0" w:firstLineChars="0"/>
              <w:rPr>
                <w:szCs w:val="18"/>
              </w:rPr>
            </w:pPr>
          </w:p>
        </w:tc>
        <w:tc>
          <w:tcPr>
            <w:tcW w:w="3402" w:type="dxa"/>
          </w:tcPr>
          <w:p w14:paraId="3FE46D62">
            <w:pPr>
              <w:pStyle w:val="24"/>
              <w:ind w:firstLine="0" w:firstLineChars="0"/>
              <w:rPr>
                <w:rFonts w:ascii="Times New Roman"/>
                <w:color w:val="0000FF"/>
                <w:sz w:val="20"/>
                <w:szCs w:val="18"/>
              </w:rPr>
            </w:pPr>
            <w:r>
              <w:rPr>
                <w:rFonts w:hint="eastAsia" w:ascii="Times New Roman"/>
                <w:color w:val="0000FF"/>
                <w:sz w:val="20"/>
                <w:szCs w:val="20"/>
              </w:rPr>
              <w:t>书面考试</w:t>
            </w:r>
          </w:p>
        </w:tc>
        <w:tc>
          <w:tcPr>
            <w:tcW w:w="1985" w:type="dxa"/>
          </w:tcPr>
          <w:p w14:paraId="3945242A">
            <w:pPr>
              <w:pStyle w:val="24"/>
              <w:ind w:firstLine="0" w:firstLineChars="0"/>
              <w:jc w:val="center"/>
              <w:rPr>
                <w:color w:val="0000FF"/>
                <w:szCs w:val="18"/>
              </w:rPr>
            </w:pPr>
            <w:r>
              <w:rPr>
                <w:rFonts w:hint="eastAsia" w:ascii="Times New Roman"/>
                <w:color w:val="0000FF"/>
                <w:sz w:val="20"/>
                <w:szCs w:val="20"/>
              </w:rPr>
              <w:t>每张考卷1分</w:t>
            </w:r>
          </w:p>
        </w:tc>
        <w:tc>
          <w:tcPr>
            <w:tcW w:w="2261" w:type="dxa"/>
            <w:vMerge w:val="continue"/>
          </w:tcPr>
          <w:p w14:paraId="2C8937C0">
            <w:pPr>
              <w:pStyle w:val="24"/>
              <w:ind w:firstLine="0" w:firstLineChars="0"/>
              <w:rPr>
                <w:color w:val="0000FF"/>
                <w:szCs w:val="18"/>
              </w:rPr>
            </w:pPr>
          </w:p>
        </w:tc>
      </w:tr>
      <w:tr w14:paraId="42A5D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3" w:type="dxa"/>
            <w:gridSpan w:val="3"/>
          </w:tcPr>
          <w:p w14:paraId="726D6478">
            <w:pPr>
              <w:pStyle w:val="24"/>
              <w:ind w:firstLine="0" w:firstLineChars="0"/>
              <w:jc w:val="left"/>
              <w:rPr>
                <w:rFonts w:ascii="Times New Roman"/>
                <w:color w:val="0000FF"/>
                <w:sz w:val="20"/>
                <w:szCs w:val="18"/>
              </w:rPr>
            </w:pPr>
            <w:r>
              <w:rPr>
                <w:rFonts w:hint="eastAsia" w:ascii="Times New Roman"/>
                <w:color w:val="0000FF"/>
                <w:sz w:val="20"/>
                <w:szCs w:val="18"/>
              </w:rPr>
              <w:t>技术控制</w:t>
            </w:r>
          </w:p>
        </w:tc>
        <w:tc>
          <w:tcPr>
            <w:tcW w:w="2261" w:type="dxa"/>
          </w:tcPr>
          <w:p w14:paraId="69B43D70">
            <w:pPr>
              <w:pStyle w:val="24"/>
              <w:ind w:firstLine="0" w:firstLineChars="0"/>
              <w:jc w:val="center"/>
              <w:rPr>
                <w:color w:val="0000FF"/>
                <w:szCs w:val="18"/>
              </w:rPr>
            </w:pPr>
            <w:r>
              <w:rPr>
                <w:rFonts w:hint="eastAsia" w:ascii="Times New Roman"/>
                <w:color w:val="0000FF"/>
                <w:sz w:val="20"/>
                <w:szCs w:val="20"/>
              </w:rPr>
              <w:t>至少4分</w:t>
            </w:r>
          </w:p>
        </w:tc>
      </w:tr>
      <w:tr w14:paraId="38779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vMerge w:val="restart"/>
          </w:tcPr>
          <w:p w14:paraId="6F273892">
            <w:pPr>
              <w:pStyle w:val="24"/>
              <w:ind w:firstLine="0" w:firstLineChars="0"/>
              <w:rPr>
                <w:szCs w:val="18"/>
              </w:rPr>
            </w:pPr>
          </w:p>
        </w:tc>
        <w:tc>
          <w:tcPr>
            <w:tcW w:w="3402" w:type="dxa"/>
          </w:tcPr>
          <w:p w14:paraId="4EB23CB0">
            <w:pPr>
              <w:pStyle w:val="24"/>
              <w:ind w:firstLine="0" w:firstLineChars="0"/>
              <w:rPr>
                <w:rFonts w:ascii="Times New Roman"/>
                <w:color w:val="0000FF"/>
                <w:sz w:val="20"/>
                <w:szCs w:val="18"/>
              </w:rPr>
            </w:pPr>
            <w:r>
              <w:rPr>
                <w:rFonts w:hint="eastAsia" w:ascii="Times New Roman"/>
                <w:color w:val="0000FF"/>
                <w:sz w:val="20"/>
                <w:szCs w:val="20"/>
              </w:rPr>
              <w:t>实施外部技术审核（主审核员）</w:t>
            </w:r>
          </w:p>
        </w:tc>
        <w:tc>
          <w:tcPr>
            <w:tcW w:w="1985" w:type="dxa"/>
          </w:tcPr>
          <w:p w14:paraId="26CF0B53">
            <w:pPr>
              <w:pStyle w:val="24"/>
              <w:ind w:firstLine="0" w:firstLineChars="0"/>
              <w:jc w:val="center"/>
              <w:rPr>
                <w:rFonts w:ascii="Times New Roman"/>
                <w:color w:val="0000FF"/>
                <w:sz w:val="20"/>
                <w:szCs w:val="18"/>
              </w:rPr>
            </w:pPr>
            <w:r>
              <w:rPr>
                <w:rFonts w:hint="eastAsia" w:ascii="Times New Roman"/>
                <w:color w:val="0000FF"/>
                <w:sz w:val="20"/>
                <w:szCs w:val="20"/>
              </w:rPr>
              <w:t>每次审核2分</w:t>
            </w:r>
          </w:p>
        </w:tc>
        <w:tc>
          <w:tcPr>
            <w:tcW w:w="2261" w:type="dxa"/>
            <w:vMerge w:val="restart"/>
          </w:tcPr>
          <w:p w14:paraId="6FF22B64">
            <w:pPr>
              <w:pStyle w:val="24"/>
              <w:ind w:firstLine="0" w:firstLineChars="0"/>
              <w:rPr>
                <w:color w:val="0000FF"/>
                <w:szCs w:val="18"/>
              </w:rPr>
            </w:pPr>
          </w:p>
        </w:tc>
      </w:tr>
      <w:tr w14:paraId="675CE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vMerge w:val="continue"/>
          </w:tcPr>
          <w:p w14:paraId="5FCFFF91">
            <w:pPr>
              <w:pStyle w:val="24"/>
              <w:ind w:firstLine="0" w:firstLineChars="0"/>
              <w:rPr>
                <w:szCs w:val="18"/>
              </w:rPr>
            </w:pPr>
          </w:p>
        </w:tc>
        <w:tc>
          <w:tcPr>
            <w:tcW w:w="3402" w:type="dxa"/>
          </w:tcPr>
          <w:p w14:paraId="498C3857">
            <w:pPr>
              <w:pStyle w:val="24"/>
              <w:ind w:firstLine="0" w:firstLineChars="0"/>
              <w:rPr>
                <w:rFonts w:ascii="Times New Roman"/>
                <w:color w:val="0000FF"/>
                <w:sz w:val="20"/>
                <w:szCs w:val="18"/>
              </w:rPr>
            </w:pPr>
            <w:r>
              <w:rPr>
                <w:rFonts w:hint="eastAsia" w:ascii="Times New Roman"/>
                <w:color w:val="0000FF"/>
                <w:sz w:val="20"/>
                <w:szCs w:val="20"/>
              </w:rPr>
              <w:t>实施内部技术审核（主审核员）</w:t>
            </w:r>
          </w:p>
        </w:tc>
        <w:tc>
          <w:tcPr>
            <w:tcW w:w="1985" w:type="dxa"/>
          </w:tcPr>
          <w:p w14:paraId="235A3334">
            <w:pPr>
              <w:pStyle w:val="24"/>
              <w:ind w:firstLine="0" w:firstLineChars="0"/>
              <w:jc w:val="center"/>
              <w:rPr>
                <w:rFonts w:ascii="Times New Roman"/>
                <w:color w:val="0000FF"/>
                <w:sz w:val="20"/>
                <w:szCs w:val="18"/>
              </w:rPr>
            </w:pPr>
            <w:r>
              <w:rPr>
                <w:rFonts w:hint="eastAsia" w:ascii="Times New Roman"/>
                <w:color w:val="0000FF"/>
                <w:sz w:val="20"/>
                <w:szCs w:val="20"/>
              </w:rPr>
              <w:t>每次审核1分</w:t>
            </w:r>
          </w:p>
        </w:tc>
        <w:tc>
          <w:tcPr>
            <w:tcW w:w="2261" w:type="dxa"/>
            <w:vMerge w:val="continue"/>
          </w:tcPr>
          <w:p w14:paraId="566B2450">
            <w:pPr>
              <w:pStyle w:val="24"/>
              <w:ind w:firstLine="0" w:firstLineChars="0"/>
              <w:rPr>
                <w:color w:val="0000FF"/>
                <w:szCs w:val="18"/>
              </w:rPr>
            </w:pPr>
          </w:p>
        </w:tc>
      </w:tr>
      <w:tr w14:paraId="41395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vMerge w:val="continue"/>
          </w:tcPr>
          <w:p w14:paraId="718CFE85">
            <w:pPr>
              <w:pStyle w:val="24"/>
              <w:ind w:firstLine="0" w:firstLineChars="0"/>
              <w:rPr>
                <w:szCs w:val="18"/>
              </w:rPr>
            </w:pPr>
          </w:p>
        </w:tc>
        <w:tc>
          <w:tcPr>
            <w:tcW w:w="3402" w:type="dxa"/>
          </w:tcPr>
          <w:p w14:paraId="490D2A2E">
            <w:pPr>
              <w:pStyle w:val="24"/>
              <w:ind w:firstLine="0" w:firstLineChars="0"/>
              <w:rPr>
                <w:rFonts w:ascii="Times New Roman"/>
                <w:color w:val="0000FF"/>
                <w:sz w:val="20"/>
                <w:szCs w:val="18"/>
              </w:rPr>
            </w:pPr>
            <w:r>
              <w:rPr>
                <w:rFonts w:hint="eastAsia" w:ascii="Times New Roman"/>
                <w:color w:val="0000FF"/>
                <w:sz w:val="20"/>
                <w:szCs w:val="20"/>
              </w:rPr>
              <w:t>第二审核员（外部或内部）</w:t>
            </w:r>
          </w:p>
        </w:tc>
        <w:tc>
          <w:tcPr>
            <w:tcW w:w="1985" w:type="dxa"/>
          </w:tcPr>
          <w:p w14:paraId="1917F5EA">
            <w:pPr>
              <w:pStyle w:val="24"/>
              <w:ind w:firstLine="0" w:firstLineChars="0"/>
              <w:jc w:val="center"/>
              <w:rPr>
                <w:rFonts w:ascii="Times New Roman"/>
                <w:color w:val="0000FF"/>
                <w:sz w:val="20"/>
                <w:szCs w:val="18"/>
              </w:rPr>
            </w:pPr>
            <w:r>
              <w:rPr>
                <w:rFonts w:hint="eastAsia" w:ascii="Times New Roman"/>
                <w:color w:val="0000FF"/>
                <w:sz w:val="20"/>
                <w:szCs w:val="20"/>
              </w:rPr>
              <w:t>每次审核1分</w:t>
            </w:r>
          </w:p>
        </w:tc>
        <w:tc>
          <w:tcPr>
            <w:tcW w:w="2261" w:type="dxa"/>
            <w:vMerge w:val="continue"/>
          </w:tcPr>
          <w:p w14:paraId="4741C542">
            <w:pPr>
              <w:pStyle w:val="24"/>
              <w:ind w:firstLine="0" w:firstLineChars="0"/>
              <w:rPr>
                <w:color w:val="0000FF"/>
                <w:szCs w:val="18"/>
              </w:rPr>
            </w:pPr>
          </w:p>
        </w:tc>
      </w:tr>
      <w:tr w14:paraId="09E1D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vMerge w:val="continue"/>
          </w:tcPr>
          <w:p w14:paraId="4FF5E990">
            <w:pPr>
              <w:pStyle w:val="24"/>
              <w:ind w:firstLine="0" w:firstLineChars="0"/>
              <w:rPr>
                <w:szCs w:val="18"/>
              </w:rPr>
            </w:pPr>
          </w:p>
        </w:tc>
        <w:tc>
          <w:tcPr>
            <w:tcW w:w="3402" w:type="dxa"/>
          </w:tcPr>
          <w:p w14:paraId="280E066A">
            <w:pPr>
              <w:pStyle w:val="24"/>
              <w:ind w:firstLine="0" w:firstLineChars="0"/>
              <w:rPr>
                <w:rFonts w:ascii="Times New Roman"/>
                <w:color w:val="0000FF"/>
                <w:sz w:val="20"/>
                <w:szCs w:val="18"/>
              </w:rPr>
            </w:pPr>
            <w:r>
              <w:rPr>
                <w:rFonts w:hint="eastAsia" w:ascii="Times New Roman"/>
                <w:color w:val="0000FF"/>
                <w:sz w:val="20"/>
                <w:szCs w:val="20"/>
              </w:rPr>
              <w:t>开发流程、设施或系统</w:t>
            </w:r>
          </w:p>
        </w:tc>
        <w:tc>
          <w:tcPr>
            <w:tcW w:w="1985" w:type="dxa"/>
          </w:tcPr>
          <w:p w14:paraId="3D18E6D3">
            <w:pPr>
              <w:pStyle w:val="24"/>
              <w:ind w:firstLine="0" w:firstLineChars="0"/>
              <w:jc w:val="center"/>
              <w:rPr>
                <w:rFonts w:ascii="Times New Roman"/>
                <w:color w:val="0000FF"/>
                <w:sz w:val="20"/>
                <w:szCs w:val="18"/>
              </w:rPr>
            </w:pPr>
            <w:r>
              <w:rPr>
                <w:rFonts w:hint="eastAsia" w:ascii="Times New Roman"/>
                <w:color w:val="0000FF"/>
                <w:sz w:val="20"/>
                <w:szCs w:val="20"/>
              </w:rPr>
              <w:t>每个备案的活动3分</w:t>
            </w:r>
          </w:p>
        </w:tc>
        <w:tc>
          <w:tcPr>
            <w:tcW w:w="2261" w:type="dxa"/>
            <w:vMerge w:val="continue"/>
          </w:tcPr>
          <w:p w14:paraId="7F5C1014">
            <w:pPr>
              <w:pStyle w:val="24"/>
              <w:ind w:firstLine="0" w:firstLineChars="0"/>
              <w:rPr>
                <w:color w:val="0000FF"/>
                <w:szCs w:val="18"/>
              </w:rPr>
            </w:pPr>
          </w:p>
        </w:tc>
      </w:tr>
      <w:tr w14:paraId="402DC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vMerge w:val="continue"/>
          </w:tcPr>
          <w:p w14:paraId="37179DF6">
            <w:pPr>
              <w:pStyle w:val="24"/>
              <w:ind w:firstLine="0" w:firstLineChars="0"/>
              <w:rPr>
                <w:szCs w:val="18"/>
              </w:rPr>
            </w:pPr>
          </w:p>
        </w:tc>
        <w:tc>
          <w:tcPr>
            <w:tcW w:w="3402" w:type="dxa"/>
          </w:tcPr>
          <w:p w14:paraId="2013A5C2">
            <w:pPr>
              <w:pStyle w:val="24"/>
              <w:ind w:firstLine="0" w:firstLineChars="0"/>
              <w:rPr>
                <w:rFonts w:ascii="Times New Roman"/>
                <w:color w:val="0000FF"/>
                <w:sz w:val="20"/>
                <w:szCs w:val="18"/>
              </w:rPr>
            </w:pPr>
            <w:r>
              <w:rPr>
                <w:rFonts w:hint="eastAsia" w:ascii="Times New Roman"/>
                <w:color w:val="0000FF"/>
                <w:sz w:val="20"/>
                <w:szCs w:val="20"/>
              </w:rPr>
              <w:t>调查、开发、学习等</w:t>
            </w:r>
          </w:p>
        </w:tc>
        <w:tc>
          <w:tcPr>
            <w:tcW w:w="1985" w:type="dxa"/>
          </w:tcPr>
          <w:p w14:paraId="2CCAD094">
            <w:pPr>
              <w:pStyle w:val="24"/>
              <w:ind w:firstLine="0" w:firstLineChars="0"/>
              <w:jc w:val="center"/>
              <w:rPr>
                <w:rFonts w:ascii="Times New Roman"/>
                <w:color w:val="0000FF"/>
                <w:sz w:val="20"/>
                <w:szCs w:val="18"/>
              </w:rPr>
            </w:pPr>
            <w:r>
              <w:rPr>
                <w:rFonts w:hint="eastAsia" w:ascii="Times New Roman"/>
                <w:color w:val="0000FF"/>
                <w:sz w:val="20"/>
                <w:szCs w:val="20"/>
              </w:rPr>
              <w:t>每个备案的活动2分</w:t>
            </w:r>
          </w:p>
        </w:tc>
        <w:tc>
          <w:tcPr>
            <w:tcW w:w="2261" w:type="dxa"/>
            <w:vMerge w:val="continue"/>
          </w:tcPr>
          <w:p w14:paraId="7BB09414">
            <w:pPr>
              <w:pStyle w:val="24"/>
              <w:ind w:firstLine="0" w:firstLineChars="0"/>
              <w:rPr>
                <w:color w:val="0000FF"/>
                <w:szCs w:val="18"/>
              </w:rPr>
            </w:pPr>
          </w:p>
        </w:tc>
      </w:tr>
      <w:tr w14:paraId="70985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vMerge w:val="continue"/>
          </w:tcPr>
          <w:p w14:paraId="382093CA">
            <w:pPr>
              <w:pStyle w:val="24"/>
              <w:ind w:firstLine="0" w:firstLineChars="0"/>
              <w:rPr>
                <w:szCs w:val="18"/>
              </w:rPr>
            </w:pPr>
          </w:p>
        </w:tc>
        <w:tc>
          <w:tcPr>
            <w:tcW w:w="3402" w:type="dxa"/>
          </w:tcPr>
          <w:p w14:paraId="54D26FF8">
            <w:pPr>
              <w:pStyle w:val="24"/>
              <w:ind w:firstLine="0" w:firstLineChars="0"/>
              <w:rPr>
                <w:rFonts w:ascii="Times New Roman"/>
                <w:color w:val="0000FF"/>
                <w:sz w:val="20"/>
                <w:szCs w:val="18"/>
              </w:rPr>
            </w:pPr>
            <w:r>
              <w:rPr>
                <w:rFonts w:hint="eastAsia" w:ascii="Times New Roman"/>
                <w:color w:val="0000FF"/>
                <w:sz w:val="20"/>
                <w:szCs w:val="20"/>
              </w:rPr>
              <w:t>体积型方法3级（超过12个月）</w:t>
            </w:r>
          </w:p>
        </w:tc>
        <w:tc>
          <w:tcPr>
            <w:tcW w:w="1985" w:type="dxa"/>
          </w:tcPr>
          <w:p w14:paraId="281E50CA">
            <w:pPr>
              <w:pStyle w:val="24"/>
              <w:ind w:firstLine="0" w:firstLineChars="0"/>
              <w:jc w:val="center"/>
              <w:rPr>
                <w:rFonts w:ascii="Times New Roman"/>
                <w:color w:val="0000FF"/>
                <w:sz w:val="20"/>
                <w:szCs w:val="18"/>
              </w:rPr>
            </w:pPr>
            <w:r>
              <w:rPr>
                <w:rFonts w:hint="eastAsia" w:ascii="Times New Roman"/>
                <w:color w:val="0000FF"/>
                <w:sz w:val="20"/>
                <w:szCs w:val="20"/>
              </w:rPr>
              <w:t>每个方法4分</w:t>
            </w:r>
          </w:p>
        </w:tc>
        <w:tc>
          <w:tcPr>
            <w:tcW w:w="2261" w:type="dxa"/>
            <w:vMerge w:val="continue"/>
          </w:tcPr>
          <w:p w14:paraId="2E0E2B1A">
            <w:pPr>
              <w:pStyle w:val="24"/>
              <w:ind w:firstLine="0" w:firstLineChars="0"/>
              <w:rPr>
                <w:color w:val="0000FF"/>
                <w:szCs w:val="18"/>
              </w:rPr>
            </w:pPr>
          </w:p>
        </w:tc>
      </w:tr>
      <w:tr w14:paraId="3B544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vMerge w:val="continue"/>
          </w:tcPr>
          <w:p w14:paraId="1F3AF5A5">
            <w:pPr>
              <w:pStyle w:val="24"/>
              <w:ind w:firstLine="0" w:firstLineChars="0"/>
              <w:rPr>
                <w:szCs w:val="18"/>
              </w:rPr>
            </w:pPr>
          </w:p>
        </w:tc>
        <w:tc>
          <w:tcPr>
            <w:tcW w:w="3402" w:type="dxa"/>
          </w:tcPr>
          <w:p w14:paraId="33EE74B6">
            <w:pPr>
              <w:pStyle w:val="24"/>
              <w:ind w:firstLine="0" w:firstLineChars="0"/>
              <w:rPr>
                <w:rFonts w:ascii="Times New Roman"/>
                <w:color w:val="0000FF"/>
                <w:sz w:val="20"/>
                <w:szCs w:val="18"/>
              </w:rPr>
            </w:pPr>
            <w:r>
              <w:rPr>
                <w:rFonts w:hint="eastAsia" w:ascii="Times New Roman"/>
                <w:color w:val="0000FF"/>
                <w:sz w:val="20"/>
                <w:szCs w:val="20"/>
              </w:rPr>
              <w:t>其他方法3级（超过12个月）</w:t>
            </w:r>
          </w:p>
        </w:tc>
        <w:tc>
          <w:tcPr>
            <w:tcW w:w="1985" w:type="dxa"/>
          </w:tcPr>
          <w:p w14:paraId="5E0045AE">
            <w:pPr>
              <w:pStyle w:val="24"/>
              <w:ind w:firstLine="0" w:firstLineChars="0"/>
              <w:jc w:val="center"/>
              <w:rPr>
                <w:rFonts w:ascii="Times New Roman"/>
                <w:color w:val="0000FF"/>
                <w:sz w:val="20"/>
                <w:szCs w:val="18"/>
              </w:rPr>
            </w:pPr>
            <w:r>
              <w:rPr>
                <w:rFonts w:hint="eastAsia" w:ascii="Times New Roman"/>
                <w:color w:val="0000FF"/>
                <w:sz w:val="20"/>
                <w:szCs w:val="20"/>
              </w:rPr>
              <w:t>每个方法2分</w:t>
            </w:r>
          </w:p>
        </w:tc>
        <w:tc>
          <w:tcPr>
            <w:tcW w:w="2261" w:type="dxa"/>
            <w:vMerge w:val="continue"/>
          </w:tcPr>
          <w:p w14:paraId="4B7DFCB3">
            <w:pPr>
              <w:pStyle w:val="24"/>
              <w:ind w:firstLine="0" w:firstLineChars="0"/>
              <w:rPr>
                <w:color w:val="0000FF"/>
                <w:szCs w:val="18"/>
              </w:rPr>
            </w:pPr>
          </w:p>
        </w:tc>
      </w:tr>
      <w:tr w14:paraId="1AD6E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vMerge w:val="continue"/>
          </w:tcPr>
          <w:p w14:paraId="2C102C0D">
            <w:pPr>
              <w:pStyle w:val="24"/>
              <w:ind w:firstLine="0" w:firstLineChars="0"/>
              <w:rPr>
                <w:szCs w:val="18"/>
              </w:rPr>
            </w:pPr>
          </w:p>
        </w:tc>
        <w:tc>
          <w:tcPr>
            <w:tcW w:w="3402" w:type="dxa"/>
          </w:tcPr>
          <w:p w14:paraId="0376B635">
            <w:pPr>
              <w:pStyle w:val="24"/>
              <w:ind w:firstLine="0" w:firstLineChars="0"/>
              <w:rPr>
                <w:rFonts w:ascii="Times New Roman"/>
                <w:color w:val="0000FF"/>
                <w:sz w:val="20"/>
                <w:szCs w:val="18"/>
              </w:rPr>
            </w:pPr>
            <w:r>
              <w:rPr>
                <w:rFonts w:hint="eastAsia" w:ascii="Times New Roman"/>
                <w:color w:val="0000FF"/>
                <w:sz w:val="20"/>
                <w:szCs w:val="20"/>
              </w:rPr>
              <w:t>开发和编制NDT技术审核检查单</w:t>
            </w:r>
          </w:p>
        </w:tc>
        <w:tc>
          <w:tcPr>
            <w:tcW w:w="1985" w:type="dxa"/>
          </w:tcPr>
          <w:p w14:paraId="7C38CDAA">
            <w:pPr>
              <w:pStyle w:val="24"/>
              <w:ind w:firstLine="0" w:firstLineChars="0"/>
              <w:jc w:val="center"/>
              <w:rPr>
                <w:rFonts w:ascii="Times New Roman"/>
                <w:color w:val="0000FF"/>
                <w:sz w:val="20"/>
                <w:szCs w:val="18"/>
              </w:rPr>
            </w:pPr>
            <w:r>
              <w:rPr>
                <w:rFonts w:hint="eastAsia" w:ascii="Times New Roman"/>
                <w:color w:val="0000FF"/>
                <w:sz w:val="20"/>
                <w:szCs w:val="20"/>
              </w:rPr>
              <w:t>每份检查单1分</w:t>
            </w:r>
          </w:p>
        </w:tc>
        <w:tc>
          <w:tcPr>
            <w:tcW w:w="2261" w:type="dxa"/>
            <w:vMerge w:val="continue"/>
          </w:tcPr>
          <w:p w14:paraId="2A36FEBA">
            <w:pPr>
              <w:pStyle w:val="24"/>
              <w:ind w:firstLine="0" w:firstLineChars="0"/>
              <w:rPr>
                <w:color w:val="0000FF"/>
                <w:szCs w:val="18"/>
              </w:rPr>
            </w:pPr>
          </w:p>
        </w:tc>
      </w:tr>
      <w:tr w14:paraId="2D55B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3" w:type="dxa"/>
            <w:gridSpan w:val="3"/>
          </w:tcPr>
          <w:p w14:paraId="4111DEDB">
            <w:pPr>
              <w:pStyle w:val="24"/>
              <w:ind w:firstLine="0" w:firstLineChars="0"/>
              <w:jc w:val="left"/>
              <w:rPr>
                <w:rFonts w:ascii="Times New Roman"/>
                <w:color w:val="0000FF"/>
                <w:sz w:val="20"/>
                <w:szCs w:val="18"/>
              </w:rPr>
            </w:pPr>
            <w:r>
              <w:rPr>
                <w:rFonts w:hint="eastAsia" w:ascii="Times New Roman"/>
                <w:color w:val="0000FF"/>
                <w:sz w:val="20"/>
                <w:szCs w:val="18"/>
              </w:rPr>
              <w:t>能力发展</w:t>
            </w:r>
          </w:p>
        </w:tc>
        <w:tc>
          <w:tcPr>
            <w:tcW w:w="2261" w:type="dxa"/>
          </w:tcPr>
          <w:p w14:paraId="659F5A3D">
            <w:pPr>
              <w:pStyle w:val="24"/>
              <w:ind w:firstLine="0" w:firstLineChars="0"/>
              <w:jc w:val="center"/>
              <w:rPr>
                <w:color w:val="0000FF"/>
                <w:szCs w:val="18"/>
              </w:rPr>
            </w:pPr>
            <w:r>
              <w:rPr>
                <w:rFonts w:hint="eastAsia" w:ascii="Times New Roman"/>
                <w:color w:val="0000FF"/>
                <w:sz w:val="20"/>
                <w:szCs w:val="20"/>
              </w:rPr>
              <w:t>至少0分</w:t>
            </w:r>
          </w:p>
        </w:tc>
      </w:tr>
      <w:tr w14:paraId="58136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vMerge w:val="restart"/>
          </w:tcPr>
          <w:p w14:paraId="4C92930F">
            <w:pPr>
              <w:pStyle w:val="24"/>
              <w:ind w:firstLine="0" w:firstLineChars="0"/>
              <w:rPr>
                <w:szCs w:val="18"/>
              </w:rPr>
            </w:pPr>
          </w:p>
        </w:tc>
        <w:tc>
          <w:tcPr>
            <w:tcW w:w="3402" w:type="dxa"/>
          </w:tcPr>
          <w:p w14:paraId="2E207A85">
            <w:pPr>
              <w:pStyle w:val="24"/>
              <w:ind w:firstLine="0" w:firstLineChars="0"/>
              <w:rPr>
                <w:rFonts w:ascii="Times New Roman"/>
                <w:color w:val="0000FF"/>
                <w:sz w:val="20"/>
                <w:szCs w:val="18"/>
              </w:rPr>
            </w:pPr>
            <w:r>
              <w:rPr>
                <w:rFonts w:hint="eastAsia" w:ascii="Times New Roman"/>
                <w:color w:val="0000FF"/>
                <w:sz w:val="20"/>
                <w:szCs w:val="20"/>
              </w:rPr>
              <w:t>专利</w:t>
            </w:r>
          </w:p>
        </w:tc>
        <w:tc>
          <w:tcPr>
            <w:tcW w:w="1985" w:type="dxa"/>
          </w:tcPr>
          <w:p w14:paraId="2F091284">
            <w:pPr>
              <w:pStyle w:val="24"/>
              <w:ind w:firstLine="0" w:firstLineChars="0"/>
              <w:jc w:val="center"/>
              <w:rPr>
                <w:rFonts w:ascii="Times New Roman"/>
                <w:color w:val="0000FF"/>
                <w:sz w:val="20"/>
                <w:szCs w:val="18"/>
              </w:rPr>
            </w:pPr>
            <w:r>
              <w:rPr>
                <w:rFonts w:hint="eastAsia" w:ascii="Times New Roman"/>
                <w:color w:val="0000FF"/>
                <w:sz w:val="20"/>
                <w:szCs w:val="20"/>
              </w:rPr>
              <w:t>单独发明8分/共同发明4分</w:t>
            </w:r>
          </w:p>
        </w:tc>
        <w:tc>
          <w:tcPr>
            <w:tcW w:w="2261" w:type="dxa"/>
            <w:vMerge w:val="restart"/>
          </w:tcPr>
          <w:p w14:paraId="0A180F66">
            <w:pPr>
              <w:pStyle w:val="24"/>
              <w:ind w:firstLine="0" w:firstLineChars="0"/>
              <w:rPr>
                <w:color w:val="0000FF"/>
                <w:szCs w:val="18"/>
              </w:rPr>
            </w:pPr>
          </w:p>
        </w:tc>
      </w:tr>
      <w:tr w14:paraId="06C92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vMerge w:val="continue"/>
          </w:tcPr>
          <w:p w14:paraId="7C5A09B2">
            <w:pPr>
              <w:pStyle w:val="24"/>
              <w:ind w:firstLine="0" w:firstLineChars="0"/>
              <w:rPr>
                <w:szCs w:val="18"/>
              </w:rPr>
            </w:pPr>
          </w:p>
        </w:tc>
        <w:tc>
          <w:tcPr>
            <w:tcW w:w="3402" w:type="dxa"/>
          </w:tcPr>
          <w:p w14:paraId="2532F1B8">
            <w:pPr>
              <w:pStyle w:val="24"/>
              <w:ind w:firstLine="0" w:firstLineChars="0"/>
              <w:rPr>
                <w:rFonts w:ascii="Times New Roman"/>
                <w:color w:val="0000FF"/>
                <w:sz w:val="20"/>
                <w:szCs w:val="18"/>
              </w:rPr>
            </w:pPr>
            <w:r>
              <w:rPr>
                <w:rFonts w:hint="eastAsia" w:ascii="Times New Roman"/>
                <w:color w:val="0000FF"/>
                <w:sz w:val="20"/>
                <w:szCs w:val="20"/>
              </w:rPr>
              <w:t>公司、技术学会或工业委员会项目（包括标准开发）</w:t>
            </w:r>
          </w:p>
        </w:tc>
        <w:tc>
          <w:tcPr>
            <w:tcW w:w="1985" w:type="dxa"/>
          </w:tcPr>
          <w:p w14:paraId="2E6FE3A8">
            <w:pPr>
              <w:pStyle w:val="24"/>
              <w:ind w:firstLine="0" w:firstLineChars="0"/>
              <w:jc w:val="center"/>
              <w:rPr>
                <w:rFonts w:ascii="Times New Roman"/>
                <w:color w:val="0000FF"/>
                <w:sz w:val="20"/>
                <w:szCs w:val="18"/>
              </w:rPr>
            </w:pPr>
            <w:r>
              <w:rPr>
                <w:rFonts w:hint="eastAsia" w:ascii="Times New Roman"/>
                <w:color w:val="0000FF"/>
                <w:sz w:val="20"/>
                <w:szCs w:val="20"/>
              </w:rPr>
              <w:t>委员会负责人2分，参与者1分</w:t>
            </w:r>
          </w:p>
        </w:tc>
        <w:tc>
          <w:tcPr>
            <w:tcW w:w="2261" w:type="dxa"/>
            <w:vMerge w:val="continue"/>
          </w:tcPr>
          <w:p w14:paraId="157D6645">
            <w:pPr>
              <w:pStyle w:val="24"/>
              <w:ind w:firstLine="0" w:firstLineChars="0"/>
              <w:rPr>
                <w:color w:val="0000FF"/>
                <w:szCs w:val="18"/>
              </w:rPr>
            </w:pPr>
          </w:p>
        </w:tc>
      </w:tr>
      <w:tr w14:paraId="4FF55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vMerge w:val="continue"/>
          </w:tcPr>
          <w:p w14:paraId="6F06B867">
            <w:pPr>
              <w:pStyle w:val="24"/>
              <w:ind w:firstLine="0" w:firstLineChars="0"/>
              <w:rPr>
                <w:szCs w:val="18"/>
              </w:rPr>
            </w:pPr>
          </w:p>
        </w:tc>
        <w:tc>
          <w:tcPr>
            <w:tcW w:w="3402" w:type="dxa"/>
          </w:tcPr>
          <w:p w14:paraId="6FDD3915">
            <w:pPr>
              <w:pStyle w:val="24"/>
              <w:ind w:firstLine="0" w:firstLineChars="0"/>
              <w:rPr>
                <w:rFonts w:ascii="Times New Roman"/>
                <w:color w:val="0000FF"/>
                <w:sz w:val="20"/>
                <w:szCs w:val="18"/>
              </w:rPr>
            </w:pPr>
            <w:r>
              <w:rPr>
                <w:rFonts w:hint="eastAsia" w:ascii="Times New Roman"/>
                <w:color w:val="0000FF"/>
                <w:sz w:val="20"/>
                <w:szCs w:val="20"/>
              </w:rPr>
              <w:t>为外部会议/出版物撰写无损检测论文/报告</w:t>
            </w:r>
          </w:p>
        </w:tc>
        <w:tc>
          <w:tcPr>
            <w:tcW w:w="1985" w:type="dxa"/>
          </w:tcPr>
          <w:p w14:paraId="14E3C99A">
            <w:pPr>
              <w:pStyle w:val="24"/>
              <w:ind w:firstLine="0" w:firstLineChars="0"/>
              <w:jc w:val="center"/>
              <w:rPr>
                <w:rFonts w:ascii="Times New Roman"/>
                <w:color w:val="0000FF"/>
                <w:sz w:val="20"/>
                <w:szCs w:val="18"/>
              </w:rPr>
            </w:pPr>
            <w:r>
              <w:rPr>
                <w:rFonts w:hint="eastAsia" w:ascii="Times New Roman"/>
                <w:color w:val="0000FF"/>
                <w:sz w:val="20"/>
                <w:szCs w:val="20"/>
              </w:rPr>
              <w:t>独著2分/合著1分</w:t>
            </w:r>
          </w:p>
        </w:tc>
        <w:tc>
          <w:tcPr>
            <w:tcW w:w="2261" w:type="dxa"/>
            <w:vMerge w:val="continue"/>
          </w:tcPr>
          <w:p w14:paraId="01B9CCE0">
            <w:pPr>
              <w:pStyle w:val="24"/>
              <w:ind w:firstLine="0" w:firstLineChars="0"/>
              <w:rPr>
                <w:color w:val="0000FF"/>
                <w:szCs w:val="18"/>
              </w:rPr>
            </w:pPr>
          </w:p>
        </w:tc>
      </w:tr>
      <w:tr w14:paraId="27509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44" w:type="dxa"/>
            <w:gridSpan w:val="4"/>
          </w:tcPr>
          <w:p w14:paraId="12DC4505">
            <w:pPr>
              <w:pStyle w:val="24"/>
              <w:ind w:firstLine="0" w:firstLineChars="0"/>
              <w:rPr>
                <w:color w:val="0000FF"/>
                <w:szCs w:val="18"/>
              </w:rPr>
            </w:pPr>
            <w:r>
              <w:rPr>
                <w:rFonts w:hint="eastAsia" w:ascii="Times New Roman"/>
                <w:color w:val="0000FF"/>
                <w:sz w:val="20"/>
                <w:szCs w:val="20"/>
              </w:rPr>
              <w:t xml:space="preserve">* </w:t>
            </w:r>
            <w:r>
              <w:rPr>
                <w:rFonts w:ascii="Times New Roman"/>
                <w:color w:val="0000FF"/>
                <w:sz w:val="20"/>
                <w:szCs w:val="20"/>
              </w:rPr>
              <w:t>若文件中技术信息的更改比例达到或超过 25%，则视为修订版本。编辑性和行政性变更不应视为对文件的技术性更改</w:t>
            </w:r>
            <w:r>
              <w:rPr>
                <w:rFonts w:hint="eastAsia" w:ascii="Times New Roman"/>
                <w:color w:val="0000FF"/>
                <w:sz w:val="20"/>
                <w:szCs w:val="20"/>
              </w:rPr>
              <w:t>。</w:t>
            </w:r>
          </w:p>
        </w:tc>
      </w:tr>
    </w:tbl>
    <w:p w14:paraId="58FB2B61">
      <w:pPr>
        <w:pStyle w:val="24"/>
        <w:ind w:firstLine="0" w:firstLineChars="0"/>
      </w:pPr>
    </w:p>
    <w:p w14:paraId="36BC12DD">
      <w:pPr>
        <w:pStyle w:val="24"/>
        <w:ind w:firstLine="0" w:firstLineChars="0"/>
      </w:pPr>
    </w:p>
    <w:p w14:paraId="682C6DF7">
      <w:pPr>
        <w:pStyle w:val="24"/>
        <w:ind w:firstLine="0" w:firstLineChars="0"/>
      </w:pPr>
    </w:p>
    <w:p w14:paraId="0B839A17">
      <w:pPr>
        <w:pStyle w:val="24"/>
        <w:ind w:firstLine="0" w:firstLineChars="0"/>
      </w:pPr>
    </w:p>
    <w:p w14:paraId="52BB1369">
      <w:pPr>
        <w:pStyle w:val="24"/>
        <w:ind w:firstLine="0" w:firstLineChars="0"/>
      </w:pPr>
    </w:p>
    <w:p w14:paraId="11DB6B82">
      <w:pPr>
        <w:pStyle w:val="24"/>
        <w:ind w:firstLine="0" w:firstLineChars="0"/>
      </w:pPr>
    </w:p>
    <w:sectPr>
      <w:pgSz w:w="11906" w:h="16838"/>
      <w:pgMar w:top="567" w:right="1134" w:bottom="1134" w:left="1418" w:header="1418" w:footer="1134" w:gutter="0"/>
      <w:pgNumType w:start="1"/>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D33D8">
    <w:pPr>
      <w:pStyle w:val="43"/>
    </w:pPr>
    <w:r>
      <w:fldChar w:fldCharType="begin"/>
    </w:r>
    <w:r>
      <w:instrText xml:space="preserve"> PAGE  \* MERGEFORMAT </w:instrText>
    </w:r>
    <w:r>
      <w:fldChar w:fldCharType="separate"/>
    </w:r>
    <w:r>
      <w:t>19</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D33D7">
    <w:pPr>
      <w:pStyle w:val="44"/>
      <w:wordWrap w:val="0"/>
      <w:rPr>
        <w:sz w:val="24"/>
        <w:szCs w:val="24"/>
      </w:rPr>
    </w:pPr>
    <w:r>
      <w:rPr>
        <w:rFonts w:hint="eastAsia"/>
        <w:sz w:val="24"/>
        <w:szCs w:val="24"/>
      </w:rPr>
      <w:t>T/CAMAC 0001-</w:t>
    </w:r>
    <w:r>
      <w:rPr>
        <w:sz w:val="24"/>
        <w:szCs w:val="24"/>
      </w:rPr>
      <w:t>202</w:t>
    </w:r>
    <w:r>
      <w:rPr>
        <w:color w:val="0000FF"/>
        <w:sz w:val="24"/>
        <w:szCs w:val="24"/>
      </w:rPr>
      <w:t>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D33D9">
    <w:pPr>
      <w:pStyle w:val="19"/>
      <w:rPr>
        <w:rFonts w:hint="eastAsia" w:ascii="仿宋" w:hAnsi="仿宋" w:eastAsia="仿宋"/>
        <w:sz w:val="28"/>
        <w:szCs w:val="28"/>
      </w:rPr>
    </w:pPr>
    <w:r>
      <w:rPr>
        <w:rFonts w:ascii="仿宋" w:hAnsi="仿宋" w:eastAsia="仿宋"/>
        <w:sz w:val="28"/>
        <w:szCs w:val="28"/>
      </w:rPr>
      <w:t>ISC:19.100</w:t>
    </w:r>
  </w:p>
  <w:p w14:paraId="17ED33DA">
    <w:pPr>
      <w:pStyle w:val="19"/>
      <w:rPr>
        <w:rFonts w:hint="eastAsia" w:ascii="仿宋" w:hAnsi="仿宋" w:eastAsia="仿宋"/>
        <w:sz w:val="28"/>
        <w:szCs w:val="28"/>
      </w:rPr>
    </w:pPr>
    <w:r>
      <w:rPr>
        <w:rFonts w:ascii="仿宋" w:hAnsi="仿宋" w:eastAsia="仿宋"/>
        <w:sz w:val="28"/>
        <w:szCs w:val="28"/>
      </w:rPr>
      <w:t>CCS:H01</w:t>
    </w:r>
    <w:r>
      <w:rPr>
        <w:rFonts w:ascii="仿宋" w:hAnsi="仿宋" w:eastAsia="仿宋"/>
        <w:b/>
        <w:bCs/>
        <w:sz w:val="28"/>
        <w:szCs w:val="2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DC1670"/>
    <w:multiLevelType w:val="multilevel"/>
    <w:tmpl w:val="0BDC1670"/>
    <w:lvl w:ilvl="0" w:tentative="0">
      <w:start w:val="1"/>
      <w:numFmt w:val="decimal"/>
      <w:pStyle w:val="145"/>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28D579C"/>
    <w:multiLevelType w:val="multilevel"/>
    <w:tmpl w:val="128D579C"/>
    <w:lvl w:ilvl="0" w:tentative="0">
      <w:start w:val="8"/>
      <w:numFmt w:val="bullet"/>
      <w:lvlText w:val="-"/>
      <w:lvlJc w:val="left"/>
      <w:pPr>
        <w:ind w:left="860" w:hanging="440"/>
      </w:pPr>
      <w:rPr>
        <w:rFonts w:hint="default" w:ascii="Times New Roman" w:hAnsi="Times New Roman" w:eastAsia="宋体" w:cs="Times New Roman"/>
      </w:rPr>
    </w:lvl>
    <w:lvl w:ilvl="1" w:tentative="0">
      <w:start w:val="1"/>
      <w:numFmt w:val="bullet"/>
      <w:lvlText w:val=""/>
      <w:lvlJc w:val="left"/>
      <w:pPr>
        <w:ind w:left="1300" w:hanging="440"/>
      </w:pPr>
      <w:rPr>
        <w:rFonts w:hint="default" w:ascii="Wingdings" w:hAnsi="Wingdings"/>
      </w:rPr>
    </w:lvl>
    <w:lvl w:ilvl="2" w:tentative="0">
      <w:start w:val="1"/>
      <w:numFmt w:val="bullet"/>
      <w:lvlText w:val=""/>
      <w:lvlJc w:val="left"/>
      <w:pPr>
        <w:ind w:left="1740" w:hanging="440"/>
      </w:pPr>
      <w:rPr>
        <w:rFonts w:hint="default" w:ascii="Wingdings" w:hAnsi="Wingdings"/>
      </w:rPr>
    </w:lvl>
    <w:lvl w:ilvl="3" w:tentative="0">
      <w:start w:val="1"/>
      <w:numFmt w:val="bullet"/>
      <w:lvlText w:val=""/>
      <w:lvlJc w:val="left"/>
      <w:pPr>
        <w:ind w:left="2180" w:hanging="440"/>
      </w:pPr>
      <w:rPr>
        <w:rFonts w:hint="default" w:ascii="Wingdings" w:hAnsi="Wingdings"/>
      </w:rPr>
    </w:lvl>
    <w:lvl w:ilvl="4" w:tentative="0">
      <w:start w:val="1"/>
      <w:numFmt w:val="bullet"/>
      <w:lvlText w:val=""/>
      <w:lvlJc w:val="left"/>
      <w:pPr>
        <w:ind w:left="2620" w:hanging="440"/>
      </w:pPr>
      <w:rPr>
        <w:rFonts w:hint="default" w:ascii="Wingdings" w:hAnsi="Wingdings"/>
      </w:rPr>
    </w:lvl>
    <w:lvl w:ilvl="5" w:tentative="0">
      <w:start w:val="1"/>
      <w:numFmt w:val="bullet"/>
      <w:lvlText w:val=""/>
      <w:lvlJc w:val="left"/>
      <w:pPr>
        <w:ind w:left="3060" w:hanging="440"/>
      </w:pPr>
      <w:rPr>
        <w:rFonts w:hint="default" w:ascii="Wingdings" w:hAnsi="Wingdings"/>
      </w:rPr>
    </w:lvl>
    <w:lvl w:ilvl="6" w:tentative="0">
      <w:start w:val="1"/>
      <w:numFmt w:val="bullet"/>
      <w:lvlText w:val=""/>
      <w:lvlJc w:val="left"/>
      <w:pPr>
        <w:ind w:left="3500" w:hanging="440"/>
      </w:pPr>
      <w:rPr>
        <w:rFonts w:hint="default" w:ascii="Wingdings" w:hAnsi="Wingdings"/>
      </w:rPr>
    </w:lvl>
    <w:lvl w:ilvl="7" w:tentative="0">
      <w:start w:val="1"/>
      <w:numFmt w:val="bullet"/>
      <w:lvlText w:val=""/>
      <w:lvlJc w:val="left"/>
      <w:pPr>
        <w:ind w:left="3940" w:hanging="440"/>
      </w:pPr>
      <w:rPr>
        <w:rFonts w:hint="default" w:ascii="Wingdings" w:hAnsi="Wingdings"/>
      </w:rPr>
    </w:lvl>
    <w:lvl w:ilvl="8" w:tentative="0">
      <w:start w:val="1"/>
      <w:numFmt w:val="bullet"/>
      <w:lvlText w:val=""/>
      <w:lvlJc w:val="left"/>
      <w:pPr>
        <w:ind w:left="4380" w:hanging="440"/>
      </w:pPr>
      <w:rPr>
        <w:rFonts w:hint="default" w:ascii="Wingdings" w:hAnsi="Wingdings"/>
      </w:rPr>
    </w:lvl>
  </w:abstractNum>
  <w:abstractNum w:abstractNumId="2">
    <w:nsid w:val="1DBF583A"/>
    <w:multiLevelType w:val="multilevel"/>
    <w:tmpl w:val="1DBF583A"/>
    <w:lvl w:ilvl="0" w:tentative="0">
      <w:start w:val="1"/>
      <w:numFmt w:val="decimal"/>
      <w:pStyle w:val="65"/>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3">
    <w:nsid w:val="1EAA1992"/>
    <w:multiLevelType w:val="multilevel"/>
    <w:tmpl w:val="1EAA1992"/>
    <w:lvl w:ilvl="0" w:tentative="0">
      <w:start w:val="1"/>
      <w:numFmt w:val="none"/>
      <w:pStyle w:val="149"/>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4">
    <w:nsid w:val="1FC91163"/>
    <w:multiLevelType w:val="multilevel"/>
    <w:tmpl w:val="1FC91163"/>
    <w:lvl w:ilvl="0" w:tentative="0">
      <w:start w:val="1"/>
      <w:numFmt w:val="decimal"/>
      <w:pStyle w:val="45"/>
      <w:suff w:val="nothing"/>
      <w:lvlText w:val="%1　"/>
      <w:lvlJc w:val="left"/>
      <w:pPr>
        <w:ind w:left="142" w:firstLine="0"/>
      </w:pPr>
      <w:rPr>
        <w:rFonts w:hint="eastAsia" w:ascii="黑体" w:hAnsi="Times New Roman" w:eastAsia="黑体"/>
        <w:b w:val="0"/>
        <w:i w:val="0"/>
        <w:sz w:val="21"/>
        <w:szCs w:val="21"/>
      </w:rPr>
    </w:lvl>
    <w:lvl w:ilvl="1" w:tentative="0">
      <w:start w:val="1"/>
      <w:numFmt w:val="decimal"/>
      <w:pStyle w:val="42"/>
      <w:suff w:val="nothing"/>
      <w:lvlText w:val="%1.%2　"/>
      <w:lvlJc w:val="left"/>
      <w:pPr>
        <w:ind w:left="567"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tentative="0">
      <w:start w:val="1"/>
      <w:numFmt w:val="decimal"/>
      <w:pStyle w:val="46"/>
      <w:suff w:val="nothing"/>
      <w:lvlText w:val="%1.%2.%3　"/>
      <w:lvlJc w:val="left"/>
      <w:pPr>
        <w:ind w:left="567" w:firstLine="0"/>
      </w:pPr>
      <w:rPr>
        <w:rFonts w:hint="eastAsia" w:ascii="黑体" w:hAnsi="Times New Roman" w:eastAsia="黑体"/>
        <w:b w:val="0"/>
        <w:i w:val="0"/>
        <w:color w:val="auto"/>
        <w:sz w:val="21"/>
      </w:rPr>
    </w:lvl>
    <w:lvl w:ilvl="3" w:tentative="0">
      <w:start w:val="1"/>
      <w:numFmt w:val="decimal"/>
      <w:pStyle w:val="51"/>
      <w:suff w:val="nothing"/>
      <w:lvlText w:val="%1.%2.%3.%4　"/>
      <w:lvlJc w:val="left"/>
      <w:pPr>
        <w:ind w:left="0" w:firstLine="0"/>
      </w:pPr>
      <w:rPr>
        <w:rFonts w:hint="eastAsia" w:ascii="黑体" w:hAnsi="Times New Roman" w:eastAsia="黑体"/>
        <w:b w:val="0"/>
        <w:i w:val="0"/>
        <w:sz w:val="21"/>
      </w:rPr>
    </w:lvl>
    <w:lvl w:ilvl="4" w:tentative="0">
      <w:start w:val="1"/>
      <w:numFmt w:val="decimal"/>
      <w:pStyle w:val="55"/>
      <w:suff w:val="nothing"/>
      <w:lvlText w:val="%1.%2.%3.%4.%5　"/>
      <w:lvlJc w:val="left"/>
      <w:pPr>
        <w:ind w:left="0" w:firstLine="0"/>
      </w:pPr>
      <w:rPr>
        <w:rFonts w:hint="eastAsia" w:ascii="黑体" w:hAnsi="Times New Roman" w:eastAsia="黑体"/>
        <w:b w:val="0"/>
        <w:i w:val="0"/>
        <w:sz w:val="21"/>
      </w:rPr>
    </w:lvl>
    <w:lvl w:ilvl="5" w:tentative="0">
      <w:start w:val="1"/>
      <w:numFmt w:val="decimal"/>
      <w:pStyle w:val="56"/>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A8F7113"/>
    <w:multiLevelType w:val="multilevel"/>
    <w:tmpl w:val="2A8F7113"/>
    <w:lvl w:ilvl="0" w:tentative="0">
      <w:start w:val="1"/>
      <w:numFmt w:val="upperLetter"/>
      <w:pStyle w:val="98"/>
      <w:suff w:val="space"/>
      <w:lvlText w:val="%1"/>
      <w:lvlJc w:val="left"/>
      <w:pPr>
        <w:ind w:left="623" w:hanging="425"/>
      </w:pPr>
      <w:rPr>
        <w:rFonts w:hint="eastAsia"/>
      </w:rPr>
    </w:lvl>
    <w:lvl w:ilvl="1" w:tentative="0">
      <w:start w:val="1"/>
      <w:numFmt w:val="decimal"/>
      <w:pStyle w:val="99"/>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6">
    <w:nsid w:val="2C5917C3"/>
    <w:multiLevelType w:val="multilevel"/>
    <w:tmpl w:val="2C5917C3"/>
    <w:lvl w:ilvl="0" w:tentative="0">
      <w:start w:val="1"/>
      <w:numFmt w:val="none"/>
      <w:pStyle w:val="48"/>
      <w:suff w:val="nothing"/>
      <w:lvlText w:val="%1——"/>
      <w:lvlJc w:val="left"/>
      <w:pPr>
        <w:ind w:left="976" w:hanging="408"/>
      </w:pPr>
      <w:rPr>
        <w:rFonts w:hint="eastAsia"/>
      </w:rPr>
    </w:lvl>
    <w:lvl w:ilvl="1" w:tentative="0">
      <w:start w:val="1"/>
      <w:numFmt w:val="bullet"/>
      <w:pStyle w:val="49"/>
      <w:lvlText w:val=""/>
      <w:lvlJc w:val="left"/>
      <w:pPr>
        <w:tabs>
          <w:tab w:val="left" w:pos="760"/>
        </w:tabs>
        <w:ind w:left="1264" w:hanging="413"/>
      </w:pPr>
      <w:rPr>
        <w:rFonts w:hint="default" w:ascii="Symbol" w:hAnsi="Symbol"/>
        <w:color w:val="auto"/>
      </w:rPr>
    </w:lvl>
    <w:lvl w:ilvl="2" w:tentative="0">
      <w:start w:val="1"/>
      <w:numFmt w:val="bullet"/>
      <w:pStyle w:val="60"/>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7">
    <w:nsid w:val="3D733618"/>
    <w:multiLevelType w:val="multilevel"/>
    <w:tmpl w:val="3D733618"/>
    <w:lvl w:ilvl="0" w:tentative="0">
      <w:start w:val="1"/>
      <w:numFmt w:val="decimal"/>
      <w:pStyle w:val="25"/>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8">
    <w:nsid w:val="44C50F90"/>
    <w:multiLevelType w:val="multilevel"/>
    <w:tmpl w:val="44C50F90"/>
    <w:lvl w:ilvl="0" w:tentative="0">
      <w:start w:val="1"/>
      <w:numFmt w:val="lowerLetter"/>
      <w:pStyle w:val="59"/>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pStyle w:val="54"/>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61"/>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9">
    <w:nsid w:val="475D0994"/>
    <w:multiLevelType w:val="multilevel"/>
    <w:tmpl w:val="475D0994"/>
    <w:lvl w:ilvl="0" w:tentative="0">
      <w:start w:val="8"/>
      <w:numFmt w:val="bullet"/>
      <w:lvlText w:val="-"/>
      <w:lvlJc w:val="left"/>
      <w:pPr>
        <w:ind w:left="860" w:hanging="440"/>
      </w:pPr>
      <w:rPr>
        <w:rFonts w:hint="default" w:ascii="Times New Roman" w:hAnsi="Times New Roman" w:eastAsia="宋体" w:cs="Times New Roman"/>
      </w:rPr>
    </w:lvl>
    <w:lvl w:ilvl="1" w:tentative="0">
      <w:start w:val="1"/>
      <w:numFmt w:val="bullet"/>
      <w:lvlText w:val=""/>
      <w:lvlJc w:val="left"/>
      <w:pPr>
        <w:ind w:left="1300" w:hanging="440"/>
      </w:pPr>
      <w:rPr>
        <w:rFonts w:hint="default" w:ascii="Wingdings" w:hAnsi="Wingdings"/>
      </w:rPr>
    </w:lvl>
    <w:lvl w:ilvl="2" w:tentative="0">
      <w:start w:val="1"/>
      <w:numFmt w:val="bullet"/>
      <w:lvlText w:val=""/>
      <w:lvlJc w:val="left"/>
      <w:pPr>
        <w:ind w:left="1740" w:hanging="440"/>
      </w:pPr>
      <w:rPr>
        <w:rFonts w:hint="default" w:ascii="Wingdings" w:hAnsi="Wingdings"/>
      </w:rPr>
    </w:lvl>
    <w:lvl w:ilvl="3" w:tentative="0">
      <w:start w:val="1"/>
      <w:numFmt w:val="bullet"/>
      <w:lvlText w:val=""/>
      <w:lvlJc w:val="left"/>
      <w:pPr>
        <w:ind w:left="2180" w:hanging="440"/>
      </w:pPr>
      <w:rPr>
        <w:rFonts w:hint="default" w:ascii="Wingdings" w:hAnsi="Wingdings"/>
      </w:rPr>
    </w:lvl>
    <w:lvl w:ilvl="4" w:tentative="0">
      <w:start w:val="1"/>
      <w:numFmt w:val="bullet"/>
      <w:lvlText w:val=""/>
      <w:lvlJc w:val="left"/>
      <w:pPr>
        <w:ind w:left="2620" w:hanging="440"/>
      </w:pPr>
      <w:rPr>
        <w:rFonts w:hint="default" w:ascii="Wingdings" w:hAnsi="Wingdings"/>
      </w:rPr>
    </w:lvl>
    <w:lvl w:ilvl="5" w:tentative="0">
      <w:start w:val="1"/>
      <w:numFmt w:val="bullet"/>
      <w:lvlText w:val=""/>
      <w:lvlJc w:val="left"/>
      <w:pPr>
        <w:ind w:left="3060" w:hanging="440"/>
      </w:pPr>
      <w:rPr>
        <w:rFonts w:hint="default" w:ascii="Wingdings" w:hAnsi="Wingdings"/>
      </w:rPr>
    </w:lvl>
    <w:lvl w:ilvl="6" w:tentative="0">
      <w:start w:val="1"/>
      <w:numFmt w:val="bullet"/>
      <w:lvlText w:val=""/>
      <w:lvlJc w:val="left"/>
      <w:pPr>
        <w:ind w:left="3500" w:hanging="440"/>
      </w:pPr>
      <w:rPr>
        <w:rFonts w:hint="default" w:ascii="Wingdings" w:hAnsi="Wingdings"/>
      </w:rPr>
    </w:lvl>
    <w:lvl w:ilvl="7" w:tentative="0">
      <w:start w:val="1"/>
      <w:numFmt w:val="bullet"/>
      <w:lvlText w:val=""/>
      <w:lvlJc w:val="left"/>
      <w:pPr>
        <w:ind w:left="3940" w:hanging="440"/>
      </w:pPr>
      <w:rPr>
        <w:rFonts w:hint="default" w:ascii="Wingdings" w:hAnsi="Wingdings"/>
      </w:rPr>
    </w:lvl>
    <w:lvl w:ilvl="8" w:tentative="0">
      <w:start w:val="1"/>
      <w:numFmt w:val="bullet"/>
      <w:lvlText w:val=""/>
      <w:lvlJc w:val="left"/>
      <w:pPr>
        <w:ind w:left="4380" w:hanging="440"/>
      </w:pPr>
      <w:rPr>
        <w:rFonts w:hint="default" w:ascii="Wingdings" w:hAnsi="Wingdings"/>
      </w:rPr>
    </w:lvl>
  </w:abstractNum>
  <w:abstractNum w:abstractNumId="10">
    <w:nsid w:val="60B55DC2"/>
    <w:multiLevelType w:val="multilevel"/>
    <w:tmpl w:val="60B55DC2"/>
    <w:lvl w:ilvl="0" w:tentative="0">
      <w:start w:val="1"/>
      <w:numFmt w:val="upperLetter"/>
      <w:pStyle w:val="86"/>
      <w:lvlText w:val="%1"/>
      <w:lvlJc w:val="left"/>
      <w:pPr>
        <w:tabs>
          <w:tab w:val="left" w:pos="0"/>
        </w:tabs>
        <w:ind w:left="0" w:hanging="425"/>
      </w:pPr>
      <w:rPr>
        <w:rFonts w:hint="eastAsia"/>
      </w:rPr>
    </w:lvl>
    <w:lvl w:ilvl="1" w:tentative="0">
      <w:start w:val="1"/>
      <w:numFmt w:val="decimal"/>
      <w:pStyle w:val="87"/>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1">
    <w:nsid w:val="657D3FBC"/>
    <w:multiLevelType w:val="multilevel"/>
    <w:tmpl w:val="657D3FBC"/>
    <w:lvl w:ilvl="0" w:tentative="0">
      <w:start w:val="1"/>
      <w:numFmt w:val="upperLetter"/>
      <w:pStyle w:val="84"/>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102"/>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03"/>
      <w:suff w:val="nothing"/>
      <w:lvlText w:val="%1.%2.%3　"/>
      <w:lvlJc w:val="left"/>
      <w:pPr>
        <w:ind w:left="1843" w:firstLine="0"/>
      </w:pPr>
      <w:rPr>
        <w:rFonts w:hint="eastAsia" w:ascii="黑体" w:hAnsi="Times New Roman" w:eastAsia="黑体"/>
        <w:b w:val="0"/>
        <w:i w:val="0"/>
        <w:sz w:val="21"/>
      </w:rPr>
    </w:lvl>
    <w:lvl w:ilvl="3" w:tentative="0">
      <w:start w:val="1"/>
      <w:numFmt w:val="decimal"/>
      <w:pStyle w:val="88"/>
      <w:suff w:val="nothing"/>
      <w:lvlText w:val="%1.%2.%3.%4　"/>
      <w:lvlJc w:val="left"/>
      <w:pPr>
        <w:ind w:left="0" w:firstLine="0"/>
      </w:pPr>
      <w:rPr>
        <w:rFonts w:hint="eastAsia" w:ascii="黑体" w:hAnsi="Times New Roman" w:eastAsia="黑体"/>
        <w:b w:val="0"/>
        <w:i w:val="0"/>
        <w:sz w:val="21"/>
      </w:rPr>
    </w:lvl>
    <w:lvl w:ilvl="4" w:tentative="0">
      <w:start w:val="1"/>
      <w:numFmt w:val="decimal"/>
      <w:pStyle w:val="93"/>
      <w:suff w:val="nothing"/>
      <w:lvlText w:val="%1.%2.%3.%4.%5　"/>
      <w:lvlJc w:val="left"/>
      <w:pPr>
        <w:ind w:left="0" w:firstLine="0"/>
      </w:pPr>
      <w:rPr>
        <w:rFonts w:hint="eastAsia" w:ascii="黑体" w:hAnsi="Times New Roman" w:eastAsia="黑体"/>
        <w:b w:val="0"/>
        <w:i w:val="0"/>
        <w:sz w:val="21"/>
      </w:rPr>
    </w:lvl>
    <w:lvl w:ilvl="5" w:tentative="0">
      <w:start w:val="1"/>
      <w:numFmt w:val="decimal"/>
      <w:pStyle w:val="96"/>
      <w:suff w:val="nothing"/>
      <w:lvlText w:val="%1.%2.%3.%4.%5.%6　"/>
      <w:lvlJc w:val="left"/>
      <w:pPr>
        <w:ind w:left="0" w:firstLine="0"/>
      </w:pPr>
      <w:rPr>
        <w:rFonts w:hint="eastAsia" w:ascii="黑体" w:hAnsi="Times New Roman" w:eastAsia="黑体"/>
        <w:b w:val="0"/>
        <w:i w:val="0"/>
        <w:sz w:val="21"/>
      </w:rPr>
    </w:lvl>
    <w:lvl w:ilvl="6" w:tentative="0">
      <w:start w:val="1"/>
      <w:numFmt w:val="decimal"/>
      <w:pStyle w:val="100"/>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2">
    <w:nsid w:val="6C2F0DEC"/>
    <w:multiLevelType w:val="multilevel"/>
    <w:tmpl w:val="6C2F0DEC"/>
    <w:lvl w:ilvl="0" w:tentative="0">
      <w:start w:val="1"/>
      <w:numFmt w:val="bullet"/>
      <w:lvlText w:val="-"/>
      <w:lvlJc w:val="left"/>
      <w:pPr>
        <w:ind w:left="840" w:hanging="420"/>
      </w:pPr>
      <w:rPr>
        <w:rFonts w:hint="default" w:ascii="Times New Roman" w:hAnsi="Times New Roman" w:cs="Times New Roman"/>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3">
    <w:nsid w:val="6D6C07CD"/>
    <w:multiLevelType w:val="multilevel"/>
    <w:tmpl w:val="6D6C07CD"/>
    <w:lvl w:ilvl="0" w:tentative="0">
      <w:start w:val="1"/>
      <w:numFmt w:val="lowerLetter"/>
      <w:pStyle w:val="105"/>
      <w:lvlText w:val="%1)"/>
      <w:lvlJc w:val="left"/>
      <w:pPr>
        <w:tabs>
          <w:tab w:val="left" w:pos="839"/>
        </w:tabs>
        <w:ind w:left="839" w:hanging="419"/>
      </w:pPr>
      <w:rPr>
        <w:rFonts w:hint="eastAsia" w:ascii="宋体" w:eastAsia="宋体"/>
        <w:b w:val="0"/>
        <w:i w:val="0"/>
        <w:sz w:val="21"/>
      </w:rPr>
    </w:lvl>
    <w:lvl w:ilvl="1" w:tentative="0">
      <w:start w:val="1"/>
      <w:numFmt w:val="decimal"/>
      <w:pStyle w:val="95"/>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num w:numId="1">
    <w:abstractNumId w:val="7"/>
  </w:num>
  <w:num w:numId="2">
    <w:abstractNumId w:val="4"/>
  </w:num>
  <w:num w:numId="3">
    <w:abstractNumId w:val="6"/>
  </w:num>
  <w:num w:numId="4">
    <w:abstractNumId w:val="8"/>
  </w:num>
  <w:num w:numId="5">
    <w:abstractNumId w:val="2"/>
  </w:num>
  <w:num w:numId="6">
    <w:abstractNumId w:val="11"/>
  </w:num>
  <w:num w:numId="7">
    <w:abstractNumId w:val="10"/>
  </w:num>
  <w:num w:numId="8">
    <w:abstractNumId w:val="13"/>
  </w:num>
  <w:num w:numId="9">
    <w:abstractNumId w:val="5"/>
  </w:num>
  <w:num w:numId="10">
    <w:abstractNumId w:val="0"/>
  </w:num>
  <w:num w:numId="11">
    <w:abstractNumId w:val="3"/>
  </w:num>
  <w:num w:numId="12">
    <w:abstractNumId w:val="12"/>
  </w:num>
  <w:num w:numId="13">
    <w:abstractNumId w:val="9"/>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IwMmFlNmU5YWY2ZTQ4OTVjNmZjYjNkNWQyMGMzN2QifQ=="/>
  </w:docVars>
  <w:rsids>
    <w:rsidRoot w:val="0047602C"/>
    <w:rsid w:val="00000244"/>
    <w:rsid w:val="00000703"/>
    <w:rsid w:val="00000850"/>
    <w:rsid w:val="00000D5A"/>
    <w:rsid w:val="000012D4"/>
    <w:rsid w:val="000013E3"/>
    <w:rsid w:val="0000185F"/>
    <w:rsid w:val="00001AA9"/>
    <w:rsid w:val="000031FD"/>
    <w:rsid w:val="00004675"/>
    <w:rsid w:val="00004971"/>
    <w:rsid w:val="00004985"/>
    <w:rsid w:val="0000586F"/>
    <w:rsid w:val="00006AB7"/>
    <w:rsid w:val="00007A03"/>
    <w:rsid w:val="000126F1"/>
    <w:rsid w:val="00013188"/>
    <w:rsid w:val="00013D86"/>
    <w:rsid w:val="00013E02"/>
    <w:rsid w:val="000142A9"/>
    <w:rsid w:val="0001475A"/>
    <w:rsid w:val="000157D8"/>
    <w:rsid w:val="00015D0A"/>
    <w:rsid w:val="000173B4"/>
    <w:rsid w:val="0002074A"/>
    <w:rsid w:val="00020EBC"/>
    <w:rsid w:val="0002143C"/>
    <w:rsid w:val="000214BA"/>
    <w:rsid w:val="000217B5"/>
    <w:rsid w:val="00022C9E"/>
    <w:rsid w:val="00024824"/>
    <w:rsid w:val="00024FC5"/>
    <w:rsid w:val="000256ED"/>
    <w:rsid w:val="000258C8"/>
    <w:rsid w:val="00025A65"/>
    <w:rsid w:val="000265EC"/>
    <w:rsid w:val="00026BDA"/>
    <w:rsid w:val="00026C31"/>
    <w:rsid w:val="00027280"/>
    <w:rsid w:val="000320A7"/>
    <w:rsid w:val="0003211F"/>
    <w:rsid w:val="000328A3"/>
    <w:rsid w:val="00032F02"/>
    <w:rsid w:val="00033FFB"/>
    <w:rsid w:val="00035925"/>
    <w:rsid w:val="00035FE7"/>
    <w:rsid w:val="00036C80"/>
    <w:rsid w:val="00036D17"/>
    <w:rsid w:val="00041A73"/>
    <w:rsid w:val="000432DF"/>
    <w:rsid w:val="00043A0D"/>
    <w:rsid w:val="00050462"/>
    <w:rsid w:val="0005379A"/>
    <w:rsid w:val="0005595D"/>
    <w:rsid w:val="000579EF"/>
    <w:rsid w:val="00057A87"/>
    <w:rsid w:val="000600FF"/>
    <w:rsid w:val="000626AF"/>
    <w:rsid w:val="00063BC4"/>
    <w:rsid w:val="00065F46"/>
    <w:rsid w:val="00066932"/>
    <w:rsid w:val="000673ED"/>
    <w:rsid w:val="00067BBA"/>
    <w:rsid w:val="00067CDF"/>
    <w:rsid w:val="00067D21"/>
    <w:rsid w:val="00067E72"/>
    <w:rsid w:val="00070C9B"/>
    <w:rsid w:val="000710F7"/>
    <w:rsid w:val="0007250D"/>
    <w:rsid w:val="000748F4"/>
    <w:rsid w:val="00074FBE"/>
    <w:rsid w:val="00077935"/>
    <w:rsid w:val="00081447"/>
    <w:rsid w:val="00081BAE"/>
    <w:rsid w:val="00081D9A"/>
    <w:rsid w:val="00082185"/>
    <w:rsid w:val="000828EB"/>
    <w:rsid w:val="00083A09"/>
    <w:rsid w:val="00084EA2"/>
    <w:rsid w:val="00085E6B"/>
    <w:rsid w:val="000875E4"/>
    <w:rsid w:val="0009005E"/>
    <w:rsid w:val="00092857"/>
    <w:rsid w:val="00092DF2"/>
    <w:rsid w:val="00093138"/>
    <w:rsid w:val="00094EB2"/>
    <w:rsid w:val="00097BEE"/>
    <w:rsid w:val="000A0314"/>
    <w:rsid w:val="000A13B4"/>
    <w:rsid w:val="000A20A9"/>
    <w:rsid w:val="000A2397"/>
    <w:rsid w:val="000A26F7"/>
    <w:rsid w:val="000A30B1"/>
    <w:rsid w:val="000A30BB"/>
    <w:rsid w:val="000A358C"/>
    <w:rsid w:val="000A3942"/>
    <w:rsid w:val="000A48B1"/>
    <w:rsid w:val="000A4E9C"/>
    <w:rsid w:val="000A765B"/>
    <w:rsid w:val="000A7D10"/>
    <w:rsid w:val="000A7DB7"/>
    <w:rsid w:val="000B15E8"/>
    <w:rsid w:val="000B2635"/>
    <w:rsid w:val="000B29EC"/>
    <w:rsid w:val="000B3143"/>
    <w:rsid w:val="000B365B"/>
    <w:rsid w:val="000B3A20"/>
    <w:rsid w:val="000B3EDD"/>
    <w:rsid w:val="000B404C"/>
    <w:rsid w:val="000B43EF"/>
    <w:rsid w:val="000B44AB"/>
    <w:rsid w:val="000B4EC9"/>
    <w:rsid w:val="000B5722"/>
    <w:rsid w:val="000B721E"/>
    <w:rsid w:val="000B745B"/>
    <w:rsid w:val="000C01C9"/>
    <w:rsid w:val="000C18EA"/>
    <w:rsid w:val="000C3071"/>
    <w:rsid w:val="000C36B4"/>
    <w:rsid w:val="000C3E98"/>
    <w:rsid w:val="000C5156"/>
    <w:rsid w:val="000C5590"/>
    <w:rsid w:val="000C6368"/>
    <w:rsid w:val="000C6B05"/>
    <w:rsid w:val="000C6DD6"/>
    <w:rsid w:val="000C73D4"/>
    <w:rsid w:val="000D06E5"/>
    <w:rsid w:val="000D07E6"/>
    <w:rsid w:val="000D0E4C"/>
    <w:rsid w:val="000D15EB"/>
    <w:rsid w:val="000D27DF"/>
    <w:rsid w:val="000D2A42"/>
    <w:rsid w:val="000D2BE5"/>
    <w:rsid w:val="000D2FAF"/>
    <w:rsid w:val="000D3CF2"/>
    <w:rsid w:val="000D3D4C"/>
    <w:rsid w:val="000D3F7D"/>
    <w:rsid w:val="000D4B58"/>
    <w:rsid w:val="000D4B94"/>
    <w:rsid w:val="000D4F51"/>
    <w:rsid w:val="000D6E6E"/>
    <w:rsid w:val="000D718B"/>
    <w:rsid w:val="000D73C2"/>
    <w:rsid w:val="000E07B5"/>
    <w:rsid w:val="000E0C46"/>
    <w:rsid w:val="000E34DA"/>
    <w:rsid w:val="000E39EB"/>
    <w:rsid w:val="000E4D5A"/>
    <w:rsid w:val="000E595C"/>
    <w:rsid w:val="000E6145"/>
    <w:rsid w:val="000E77E5"/>
    <w:rsid w:val="000E7ADF"/>
    <w:rsid w:val="000F030C"/>
    <w:rsid w:val="000F129C"/>
    <w:rsid w:val="000F1C99"/>
    <w:rsid w:val="000F3862"/>
    <w:rsid w:val="000F659C"/>
    <w:rsid w:val="000F65F2"/>
    <w:rsid w:val="000F67A7"/>
    <w:rsid w:val="000F7BE1"/>
    <w:rsid w:val="00100724"/>
    <w:rsid w:val="00101551"/>
    <w:rsid w:val="00102F01"/>
    <w:rsid w:val="00105172"/>
    <w:rsid w:val="001056DE"/>
    <w:rsid w:val="001106D7"/>
    <w:rsid w:val="00110CC6"/>
    <w:rsid w:val="00111465"/>
    <w:rsid w:val="001124C0"/>
    <w:rsid w:val="00112F2F"/>
    <w:rsid w:val="00114202"/>
    <w:rsid w:val="00114321"/>
    <w:rsid w:val="001144E3"/>
    <w:rsid w:val="0011626C"/>
    <w:rsid w:val="001169E5"/>
    <w:rsid w:val="00117103"/>
    <w:rsid w:val="00120ACB"/>
    <w:rsid w:val="001211F7"/>
    <w:rsid w:val="00121574"/>
    <w:rsid w:val="00121946"/>
    <w:rsid w:val="00121BF8"/>
    <w:rsid w:val="00122223"/>
    <w:rsid w:val="00122579"/>
    <w:rsid w:val="00124A84"/>
    <w:rsid w:val="00126C8F"/>
    <w:rsid w:val="0012794A"/>
    <w:rsid w:val="0013009B"/>
    <w:rsid w:val="0013175F"/>
    <w:rsid w:val="00131A21"/>
    <w:rsid w:val="001324C9"/>
    <w:rsid w:val="001337CA"/>
    <w:rsid w:val="0013589E"/>
    <w:rsid w:val="001367BF"/>
    <w:rsid w:val="0014121A"/>
    <w:rsid w:val="00142160"/>
    <w:rsid w:val="00142213"/>
    <w:rsid w:val="00142FD9"/>
    <w:rsid w:val="00146AD6"/>
    <w:rsid w:val="00147688"/>
    <w:rsid w:val="00147D4A"/>
    <w:rsid w:val="001512B4"/>
    <w:rsid w:val="00152C4B"/>
    <w:rsid w:val="00152EFA"/>
    <w:rsid w:val="001537C8"/>
    <w:rsid w:val="001554A0"/>
    <w:rsid w:val="0015585C"/>
    <w:rsid w:val="001560E8"/>
    <w:rsid w:val="0016077B"/>
    <w:rsid w:val="00160D23"/>
    <w:rsid w:val="00161D36"/>
    <w:rsid w:val="001620A5"/>
    <w:rsid w:val="001622AA"/>
    <w:rsid w:val="001644FC"/>
    <w:rsid w:val="00164E53"/>
    <w:rsid w:val="00164F55"/>
    <w:rsid w:val="00166187"/>
    <w:rsid w:val="0016699D"/>
    <w:rsid w:val="00167087"/>
    <w:rsid w:val="00167426"/>
    <w:rsid w:val="00167FF6"/>
    <w:rsid w:val="00170A3C"/>
    <w:rsid w:val="00171473"/>
    <w:rsid w:val="001737AA"/>
    <w:rsid w:val="00175159"/>
    <w:rsid w:val="00176208"/>
    <w:rsid w:val="001767E2"/>
    <w:rsid w:val="001778AB"/>
    <w:rsid w:val="001778B5"/>
    <w:rsid w:val="0018095E"/>
    <w:rsid w:val="00181388"/>
    <w:rsid w:val="00181D33"/>
    <w:rsid w:val="0018211B"/>
    <w:rsid w:val="001831F2"/>
    <w:rsid w:val="00183C71"/>
    <w:rsid w:val="001840D3"/>
    <w:rsid w:val="001851D6"/>
    <w:rsid w:val="00186B2E"/>
    <w:rsid w:val="00186FA2"/>
    <w:rsid w:val="001900F8"/>
    <w:rsid w:val="0019015C"/>
    <w:rsid w:val="001904FC"/>
    <w:rsid w:val="0019095B"/>
    <w:rsid w:val="00191258"/>
    <w:rsid w:val="0019235A"/>
    <w:rsid w:val="00192680"/>
    <w:rsid w:val="00193037"/>
    <w:rsid w:val="001938AA"/>
    <w:rsid w:val="00193A2C"/>
    <w:rsid w:val="00195EFF"/>
    <w:rsid w:val="00195FB4"/>
    <w:rsid w:val="00196032"/>
    <w:rsid w:val="0019605C"/>
    <w:rsid w:val="00196967"/>
    <w:rsid w:val="00196C9D"/>
    <w:rsid w:val="0019784E"/>
    <w:rsid w:val="001A288E"/>
    <w:rsid w:val="001A5511"/>
    <w:rsid w:val="001B0A16"/>
    <w:rsid w:val="001B1E96"/>
    <w:rsid w:val="001B26CB"/>
    <w:rsid w:val="001B28EC"/>
    <w:rsid w:val="001B3705"/>
    <w:rsid w:val="001B4215"/>
    <w:rsid w:val="001B4930"/>
    <w:rsid w:val="001B5268"/>
    <w:rsid w:val="001B54B5"/>
    <w:rsid w:val="001B5D87"/>
    <w:rsid w:val="001B61C4"/>
    <w:rsid w:val="001B6DC2"/>
    <w:rsid w:val="001B7DEA"/>
    <w:rsid w:val="001C149C"/>
    <w:rsid w:val="001C21AC"/>
    <w:rsid w:val="001C3437"/>
    <w:rsid w:val="001C47BA"/>
    <w:rsid w:val="001C5828"/>
    <w:rsid w:val="001C59EA"/>
    <w:rsid w:val="001C59F9"/>
    <w:rsid w:val="001C5A62"/>
    <w:rsid w:val="001D058D"/>
    <w:rsid w:val="001D062F"/>
    <w:rsid w:val="001D0EE5"/>
    <w:rsid w:val="001D1A90"/>
    <w:rsid w:val="001D24BE"/>
    <w:rsid w:val="001D297E"/>
    <w:rsid w:val="001D2A15"/>
    <w:rsid w:val="001D38A9"/>
    <w:rsid w:val="001D3D40"/>
    <w:rsid w:val="001D406C"/>
    <w:rsid w:val="001D409E"/>
    <w:rsid w:val="001D41EE"/>
    <w:rsid w:val="001D4826"/>
    <w:rsid w:val="001D4A9F"/>
    <w:rsid w:val="001D74A1"/>
    <w:rsid w:val="001E0380"/>
    <w:rsid w:val="001E05EB"/>
    <w:rsid w:val="001E1207"/>
    <w:rsid w:val="001E13B1"/>
    <w:rsid w:val="001E1D83"/>
    <w:rsid w:val="001E38F8"/>
    <w:rsid w:val="001E5029"/>
    <w:rsid w:val="001E5693"/>
    <w:rsid w:val="001F0DF9"/>
    <w:rsid w:val="001F3A19"/>
    <w:rsid w:val="001F3EC7"/>
    <w:rsid w:val="001F4661"/>
    <w:rsid w:val="001F4846"/>
    <w:rsid w:val="001F5588"/>
    <w:rsid w:val="001F6037"/>
    <w:rsid w:val="0020042B"/>
    <w:rsid w:val="002007A6"/>
    <w:rsid w:val="002011D0"/>
    <w:rsid w:val="00201970"/>
    <w:rsid w:val="00201F27"/>
    <w:rsid w:val="00202252"/>
    <w:rsid w:val="00202EB0"/>
    <w:rsid w:val="00206826"/>
    <w:rsid w:val="002077E2"/>
    <w:rsid w:val="0021018F"/>
    <w:rsid w:val="002118BE"/>
    <w:rsid w:val="00212227"/>
    <w:rsid w:val="00212CDD"/>
    <w:rsid w:val="0021321B"/>
    <w:rsid w:val="002136B0"/>
    <w:rsid w:val="002136DC"/>
    <w:rsid w:val="00214199"/>
    <w:rsid w:val="0021428A"/>
    <w:rsid w:val="00214B1E"/>
    <w:rsid w:val="002177E4"/>
    <w:rsid w:val="002200E4"/>
    <w:rsid w:val="00221034"/>
    <w:rsid w:val="00221F80"/>
    <w:rsid w:val="002251C8"/>
    <w:rsid w:val="0022727A"/>
    <w:rsid w:val="002316E9"/>
    <w:rsid w:val="0023228A"/>
    <w:rsid w:val="00234094"/>
    <w:rsid w:val="00234467"/>
    <w:rsid w:val="002351AD"/>
    <w:rsid w:val="00235D47"/>
    <w:rsid w:val="00236258"/>
    <w:rsid w:val="00236FA7"/>
    <w:rsid w:val="002375BD"/>
    <w:rsid w:val="00237600"/>
    <w:rsid w:val="00237D8D"/>
    <w:rsid w:val="002412B9"/>
    <w:rsid w:val="0024138F"/>
    <w:rsid w:val="00241DA2"/>
    <w:rsid w:val="0024298B"/>
    <w:rsid w:val="00243273"/>
    <w:rsid w:val="00243494"/>
    <w:rsid w:val="002438EA"/>
    <w:rsid w:val="002450E1"/>
    <w:rsid w:val="00245B12"/>
    <w:rsid w:val="00247DA9"/>
    <w:rsid w:val="00247FEE"/>
    <w:rsid w:val="0025007A"/>
    <w:rsid w:val="00250E7D"/>
    <w:rsid w:val="002521FD"/>
    <w:rsid w:val="00254077"/>
    <w:rsid w:val="002540AD"/>
    <w:rsid w:val="00255F9A"/>
    <w:rsid w:val="002565D5"/>
    <w:rsid w:val="00256B19"/>
    <w:rsid w:val="0025733C"/>
    <w:rsid w:val="00257FE2"/>
    <w:rsid w:val="0026074E"/>
    <w:rsid w:val="0026169E"/>
    <w:rsid w:val="002622C0"/>
    <w:rsid w:val="00262A9F"/>
    <w:rsid w:val="00265117"/>
    <w:rsid w:val="0026563A"/>
    <w:rsid w:val="00266871"/>
    <w:rsid w:val="00266AA0"/>
    <w:rsid w:val="0026700A"/>
    <w:rsid w:val="00267773"/>
    <w:rsid w:val="00270437"/>
    <w:rsid w:val="002720DF"/>
    <w:rsid w:val="002722EA"/>
    <w:rsid w:val="00274216"/>
    <w:rsid w:val="00275588"/>
    <w:rsid w:val="00276550"/>
    <w:rsid w:val="00277876"/>
    <w:rsid w:val="002778AE"/>
    <w:rsid w:val="00277F69"/>
    <w:rsid w:val="00281213"/>
    <w:rsid w:val="002813F2"/>
    <w:rsid w:val="002814FB"/>
    <w:rsid w:val="0028269A"/>
    <w:rsid w:val="00282942"/>
    <w:rsid w:val="00283590"/>
    <w:rsid w:val="00283A68"/>
    <w:rsid w:val="00283CC4"/>
    <w:rsid w:val="00285071"/>
    <w:rsid w:val="0028550E"/>
    <w:rsid w:val="002865AD"/>
    <w:rsid w:val="00286973"/>
    <w:rsid w:val="0029126B"/>
    <w:rsid w:val="00292243"/>
    <w:rsid w:val="0029230C"/>
    <w:rsid w:val="00293588"/>
    <w:rsid w:val="00294E70"/>
    <w:rsid w:val="0029556D"/>
    <w:rsid w:val="00296212"/>
    <w:rsid w:val="0029622C"/>
    <w:rsid w:val="00296921"/>
    <w:rsid w:val="00296D1D"/>
    <w:rsid w:val="00296E82"/>
    <w:rsid w:val="00297F72"/>
    <w:rsid w:val="002A0AC6"/>
    <w:rsid w:val="002A0CAE"/>
    <w:rsid w:val="002A1889"/>
    <w:rsid w:val="002A1924"/>
    <w:rsid w:val="002A1C53"/>
    <w:rsid w:val="002A21A2"/>
    <w:rsid w:val="002A382E"/>
    <w:rsid w:val="002A4673"/>
    <w:rsid w:val="002A5E7E"/>
    <w:rsid w:val="002A62D1"/>
    <w:rsid w:val="002A68D3"/>
    <w:rsid w:val="002A6A10"/>
    <w:rsid w:val="002A7420"/>
    <w:rsid w:val="002B036E"/>
    <w:rsid w:val="002B07AC"/>
    <w:rsid w:val="002B0F12"/>
    <w:rsid w:val="002B1308"/>
    <w:rsid w:val="002B2091"/>
    <w:rsid w:val="002B329E"/>
    <w:rsid w:val="002B4554"/>
    <w:rsid w:val="002B4B1D"/>
    <w:rsid w:val="002B540D"/>
    <w:rsid w:val="002B5BDE"/>
    <w:rsid w:val="002B77E6"/>
    <w:rsid w:val="002B78D2"/>
    <w:rsid w:val="002C0D4A"/>
    <w:rsid w:val="002C0F08"/>
    <w:rsid w:val="002C2A1C"/>
    <w:rsid w:val="002C32F9"/>
    <w:rsid w:val="002C3D16"/>
    <w:rsid w:val="002C4216"/>
    <w:rsid w:val="002C42B6"/>
    <w:rsid w:val="002C49C6"/>
    <w:rsid w:val="002C72D8"/>
    <w:rsid w:val="002C7D69"/>
    <w:rsid w:val="002D11FA"/>
    <w:rsid w:val="002D143E"/>
    <w:rsid w:val="002D2ED2"/>
    <w:rsid w:val="002D3D4D"/>
    <w:rsid w:val="002D5A95"/>
    <w:rsid w:val="002D6136"/>
    <w:rsid w:val="002D64C0"/>
    <w:rsid w:val="002D6C90"/>
    <w:rsid w:val="002E0DDF"/>
    <w:rsid w:val="002E1D15"/>
    <w:rsid w:val="002E1FD8"/>
    <w:rsid w:val="002E209E"/>
    <w:rsid w:val="002E2906"/>
    <w:rsid w:val="002E3BD9"/>
    <w:rsid w:val="002E4358"/>
    <w:rsid w:val="002E4BEE"/>
    <w:rsid w:val="002E5222"/>
    <w:rsid w:val="002E55F7"/>
    <w:rsid w:val="002E5635"/>
    <w:rsid w:val="002E5CBC"/>
    <w:rsid w:val="002E64C3"/>
    <w:rsid w:val="002E6A2C"/>
    <w:rsid w:val="002E6B4C"/>
    <w:rsid w:val="002F12AC"/>
    <w:rsid w:val="002F18D2"/>
    <w:rsid w:val="002F1D5C"/>
    <w:rsid w:val="002F1D8C"/>
    <w:rsid w:val="002F21DA"/>
    <w:rsid w:val="002F21FE"/>
    <w:rsid w:val="002F3802"/>
    <w:rsid w:val="002F39BD"/>
    <w:rsid w:val="002F4176"/>
    <w:rsid w:val="002F5604"/>
    <w:rsid w:val="0030022B"/>
    <w:rsid w:val="003013C4"/>
    <w:rsid w:val="00301EA3"/>
    <w:rsid w:val="00301F39"/>
    <w:rsid w:val="0030257A"/>
    <w:rsid w:val="00302B3D"/>
    <w:rsid w:val="0030316D"/>
    <w:rsid w:val="0030317B"/>
    <w:rsid w:val="00307065"/>
    <w:rsid w:val="00310665"/>
    <w:rsid w:val="003106FC"/>
    <w:rsid w:val="00311E0E"/>
    <w:rsid w:val="00311F73"/>
    <w:rsid w:val="00312779"/>
    <w:rsid w:val="00312D7D"/>
    <w:rsid w:val="00313569"/>
    <w:rsid w:val="00314222"/>
    <w:rsid w:val="003155C9"/>
    <w:rsid w:val="00317315"/>
    <w:rsid w:val="00317A4A"/>
    <w:rsid w:val="003210CF"/>
    <w:rsid w:val="003224A2"/>
    <w:rsid w:val="0032330A"/>
    <w:rsid w:val="0032340A"/>
    <w:rsid w:val="003236BE"/>
    <w:rsid w:val="003249CD"/>
    <w:rsid w:val="00324AAF"/>
    <w:rsid w:val="00324EB9"/>
    <w:rsid w:val="00325377"/>
    <w:rsid w:val="0032549F"/>
    <w:rsid w:val="00325926"/>
    <w:rsid w:val="00325A5E"/>
    <w:rsid w:val="00326A31"/>
    <w:rsid w:val="00327097"/>
    <w:rsid w:val="003273FD"/>
    <w:rsid w:val="00327808"/>
    <w:rsid w:val="00327A8A"/>
    <w:rsid w:val="0033108D"/>
    <w:rsid w:val="003324CA"/>
    <w:rsid w:val="00333DB0"/>
    <w:rsid w:val="00334F96"/>
    <w:rsid w:val="00335159"/>
    <w:rsid w:val="00335B35"/>
    <w:rsid w:val="003360E3"/>
    <w:rsid w:val="00336610"/>
    <w:rsid w:val="00336B24"/>
    <w:rsid w:val="00337CAA"/>
    <w:rsid w:val="003412ED"/>
    <w:rsid w:val="00341A12"/>
    <w:rsid w:val="00342B6A"/>
    <w:rsid w:val="00343F73"/>
    <w:rsid w:val="00345060"/>
    <w:rsid w:val="003452DE"/>
    <w:rsid w:val="00346604"/>
    <w:rsid w:val="00351F93"/>
    <w:rsid w:val="00353009"/>
    <w:rsid w:val="0035323B"/>
    <w:rsid w:val="00353993"/>
    <w:rsid w:val="0035438D"/>
    <w:rsid w:val="00354F2D"/>
    <w:rsid w:val="00355612"/>
    <w:rsid w:val="003567A8"/>
    <w:rsid w:val="0035697C"/>
    <w:rsid w:val="00356DD2"/>
    <w:rsid w:val="003573C2"/>
    <w:rsid w:val="003609D2"/>
    <w:rsid w:val="00362469"/>
    <w:rsid w:val="0036300E"/>
    <w:rsid w:val="00363663"/>
    <w:rsid w:val="00363F22"/>
    <w:rsid w:val="003640DA"/>
    <w:rsid w:val="00364DE7"/>
    <w:rsid w:val="003666E2"/>
    <w:rsid w:val="0036681B"/>
    <w:rsid w:val="00366A43"/>
    <w:rsid w:val="00367621"/>
    <w:rsid w:val="00371CEF"/>
    <w:rsid w:val="00372330"/>
    <w:rsid w:val="00372631"/>
    <w:rsid w:val="00372790"/>
    <w:rsid w:val="003746BE"/>
    <w:rsid w:val="00375564"/>
    <w:rsid w:val="00376E46"/>
    <w:rsid w:val="00377624"/>
    <w:rsid w:val="003776FD"/>
    <w:rsid w:val="00381004"/>
    <w:rsid w:val="003816FA"/>
    <w:rsid w:val="003817F7"/>
    <w:rsid w:val="0038186F"/>
    <w:rsid w:val="00381C7F"/>
    <w:rsid w:val="00382766"/>
    <w:rsid w:val="0038298E"/>
    <w:rsid w:val="00383191"/>
    <w:rsid w:val="003832CA"/>
    <w:rsid w:val="00384053"/>
    <w:rsid w:val="003855B8"/>
    <w:rsid w:val="00385D0C"/>
    <w:rsid w:val="00386DED"/>
    <w:rsid w:val="00390A22"/>
    <w:rsid w:val="00390E58"/>
    <w:rsid w:val="003912E7"/>
    <w:rsid w:val="003920D9"/>
    <w:rsid w:val="00393947"/>
    <w:rsid w:val="00396399"/>
    <w:rsid w:val="00396522"/>
    <w:rsid w:val="0039744B"/>
    <w:rsid w:val="00397BD8"/>
    <w:rsid w:val="003A13D2"/>
    <w:rsid w:val="003A2275"/>
    <w:rsid w:val="003A2627"/>
    <w:rsid w:val="003A2CA9"/>
    <w:rsid w:val="003A6027"/>
    <w:rsid w:val="003A641E"/>
    <w:rsid w:val="003A6A4F"/>
    <w:rsid w:val="003A7088"/>
    <w:rsid w:val="003B00DF"/>
    <w:rsid w:val="003B1275"/>
    <w:rsid w:val="003B144F"/>
    <w:rsid w:val="003B1778"/>
    <w:rsid w:val="003B19ED"/>
    <w:rsid w:val="003B39BE"/>
    <w:rsid w:val="003B4163"/>
    <w:rsid w:val="003B4494"/>
    <w:rsid w:val="003B6554"/>
    <w:rsid w:val="003C04E3"/>
    <w:rsid w:val="003C0F1F"/>
    <w:rsid w:val="003C11CB"/>
    <w:rsid w:val="003C14E1"/>
    <w:rsid w:val="003C1935"/>
    <w:rsid w:val="003C21EF"/>
    <w:rsid w:val="003C27D7"/>
    <w:rsid w:val="003C2A50"/>
    <w:rsid w:val="003C44CB"/>
    <w:rsid w:val="003C44E4"/>
    <w:rsid w:val="003C73D5"/>
    <w:rsid w:val="003C75F3"/>
    <w:rsid w:val="003C78A3"/>
    <w:rsid w:val="003C7946"/>
    <w:rsid w:val="003D0751"/>
    <w:rsid w:val="003D2A30"/>
    <w:rsid w:val="003D3516"/>
    <w:rsid w:val="003D77B1"/>
    <w:rsid w:val="003D78A2"/>
    <w:rsid w:val="003E1301"/>
    <w:rsid w:val="003E1867"/>
    <w:rsid w:val="003E4EC7"/>
    <w:rsid w:val="003E5729"/>
    <w:rsid w:val="003E629F"/>
    <w:rsid w:val="003F1895"/>
    <w:rsid w:val="003F302B"/>
    <w:rsid w:val="003F3BC3"/>
    <w:rsid w:val="003F4126"/>
    <w:rsid w:val="003F4EE0"/>
    <w:rsid w:val="003F5EB8"/>
    <w:rsid w:val="003F6218"/>
    <w:rsid w:val="003F7935"/>
    <w:rsid w:val="003F7AB4"/>
    <w:rsid w:val="004003C6"/>
    <w:rsid w:val="00402153"/>
    <w:rsid w:val="00402B2F"/>
    <w:rsid w:val="00402FC1"/>
    <w:rsid w:val="004047EC"/>
    <w:rsid w:val="00404AF8"/>
    <w:rsid w:val="0040558A"/>
    <w:rsid w:val="00407787"/>
    <w:rsid w:val="00412E2B"/>
    <w:rsid w:val="00414A07"/>
    <w:rsid w:val="0041559C"/>
    <w:rsid w:val="00415758"/>
    <w:rsid w:val="0041628C"/>
    <w:rsid w:val="00420B5F"/>
    <w:rsid w:val="00421253"/>
    <w:rsid w:val="00423130"/>
    <w:rsid w:val="00423B52"/>
    <w:rsid w:val="0042497F"/>
    <w:rsid w:val="00425082"/>
    <w:rsid w:val="00425188"/>
    <w:rsid w:val="0042535C"/>
    <w:rsid w:val="00427605"/>
    <w:rsid w:val="0042778D"/>
    <w:rsid w:val="0043107B"/>
    <w:rsid w:val="00431DEB"/>
    <w:rsid w:val="00432268"/>
    <w:rsid w:val="00433237"/>
    <w:rsid w:val="00434A70"/>
    <w:rsid w:val="00435C68"/>
    <w:rsid w:val="00436B69"/>
    <w:rsid w:val="00437AAC"/>
    <w:rsid w:val="004403D3"/>
    <w:rsid w:val="004407B8"/>
    <w:rsid w:val="00440FF2"/>
    <w:rsid w:val="00441CF8"/>
    <w:rsid w:val="00442FC6"/>
    <w:rsid w:val="004435F4"/>
    <w:rsid w:val="004438E8"/>
    <w:rsid w:val="0044420B"/>
    <w:rsid w:val="004448DB"/>
    <w:rsid w:val="00445CC6"/>
    <w:rsid w:val="004467C0"/>
    <w:rsid w:val="00446B29"/>
    <w:rsid w:val="00450F57"/>
    <w:rsid w:val="004511B7"/>
    <w:rsid w:val="00453F9A"/>
    <w:rsid w:val="004556DF"/>
    <w:rsid w:val="004575AA"/>
    <w:rsid w:val="004603AD"/>
    <w:rsid w:val="00461A21"/>
    <w:rsid w:val="00463166"/>
    <w:rsid w:val="00465A34"/>
    <w:rsid w:val="00467883"/>
    <w:rsid w:val="00467C55"/>
    <w:rsid w:val="00470A3C"/>
    <w:rsid w:val="00471E91"/>
    <w:rsid w:val="00472A62"/>
    <w:rsid w:val="00474675"/>
    <w:rsid w:val="0047470C"/>
    <w:rsid w:val="004755C3"/>
    <w:rsid w:val="00475675"/>
    <w:rsid w:val="0047602C"/>
    <w:rsid w:val="00482F80"/>
    <w:rsid w:val="004864A9"/>
    <w:rsid w:val="00486E48"/>
    <w:rsid w:val="0048769C"/>
    <w:rsid w:val="00490BC7"/>
    <w:rsid w:val="00491174"/>
    <w:rsid w:val="004940D3"/>
    <w:rsid w:val="00496061"/>
    <w:rsid w:val="004960C1"/>
    <w:rsid w:val="00497A1F"/>
    <w:rsid w:val="004A0F04"/>
    <w:rsid w:val="004A117E"/>
    <w:rsid w:val="004A11DF"/>
    <w:rsid w:val="004A19FB"/>
    <w:rsid w:val="004A2932"/>
    <w:rsid w:val="004A3389"/>
    <w:rsid w:val="004A35F9"/>
    <w:rsid w:val="004A61B4"/>
    <w:rsid w:val="004A6831"/>
    <w:rsid w:val="004A688E"/>
    <w:rsid w:val="004A69E4"/>
    <w:rsid w:val="004A766F"/>
    <w:rsid w:val="004B15B3"/>
    <w:rsid w:val="004B1B4E"/>
    <w:rsid w:val="004B24C1"/>
    <w:rsid w:val="004B2C1B"/>
    <w:rsid w:val="004B51C8"/>
    <w:rsid w:val="004B5728"/>
    <w:rsid w:val="004B5E3A"/>
    <w:rsid w:val="004B6DC8"/>
    <w:rsid w:val="004B7565"/>
    <w:rsid w:val="004C02AE"/>
    <w:rsid w:val="004C09CD"/>
    <w:rsid w:val="004C173F"/>
    <w:rsid w:val="004C1953"/>
    <w:rsid w:val="004C1E15"/>
    <w:rsid w:val="004C25C6"/>
    <w:rsid w:val="004C292F"/>
    <w:rsid w:val="004C2B41"/>
    <w:rsid w:val="004C2D88"/>
    <w:rsid w:val="004C69D4"/>
    <w:rsid w:val="004C793C"/>
    <w:rsid w:val="004D0522"/>
    <w:rsid w:val="004D0D3A"/>
    <w:rsid w:val="004D0D53"/>
    <w:rsid w:val="004D13E4"/>
    <w:rsid w:val="004D36D7"/>
    <w:rsid w:val="004D39FD"/>
    <w:rsid w:val="004D3AB2"/>
    <w:rsid w:val="004D43EC"/>
    <w:rsid w:val="004D4A19"/>
    <w:rsid w:val="004D66F3"/>
    <w:rsid w:val="004D700D"/>
    <w:rsid w:val="004D786A"/>
    <w:rsid w:val="004E0396"/>
    <w:rsid w:val="004E2597"/>
    <w:rsid w:val="004E3108"/>
    <w:rsid w:val="004E47F9"/>
    <w:rsid w:val="004E4E7C"/>
    <w:rsid w:val="004E6361"/>
    <w:rsid w:val="004E70BC"/>
    <w:rsid w:val="004E78A2"/>
    <w:rsid w:val="004F007C"/>
    <w:rsid w:val="004F24E8"/>
    <w:rsid w:val="004F4345"/>
    <w:rsid w:val="004F73E8"/>
    <w:rsid w:val="0050194F"/>
    <w:rsid w:val="00502619"/>
    <w:rsid w:val="005034A7"/>
    <w:rsid w:val="00503770"/>
    <w:rsid w:val="005042CB"/>
    <w:rsid w:val="00504A2A"/>
    <w:rsid w:val="00505C8F"/>
    <w:rsid w:val="00506A1F"/>
    <w:rsid w:val="00507A22"/>
    <w:rsid w:val="00510280"/>
    <w:rsid w:val="00510F2E"/>
    <w:rsid w:val="0051163C"/>
    <w:rsid w:val="00512082"/>
    <w:rsid w:val="00512980"/>
    <w:rsid w:val="005134C8"/>
    <w:rsid w:val="00513D73"/>
    <w:rsid w:val="005141E3"/>
    <w:rsid w:val="00514A43"/>
    <w:rsid w:val="00515477"/>
    <w:rsid w:val="00517448"/>
    <w:rsid w:val="005174E5"/>
    <w:rsid w:val="00517C65"/>
    <w:rsid w:val="00521F21"/>
    <w:rsid w:val="00522393"/>
    <w:rsid w:val="00522620"/>
    <w:rsid w:val="00523540"/>
    <w:rsid w:val="0052432F"/>
    <w:rsid w:val="0052523F"/>
    <w:rsid w:val="0052551B"/>
    <w:rsid w:val="00525656"/>
    <w:rsid w:val="00525CA2"/>
    <w:rsid w:val="00525E3B"/>
    <w:rsid w:val="00526D15"/>
    <w:rsid w:val="00527830"/>
    <w:rsid w:val="0053114B"/>
    <w:rsid w:val="00532813"/>
    <w:rsid w:val="00533220"/>
    <w:rsid w:val="00533B79"/>
    <w:rsid w:val="00534BD4"/>
    <w:rsid w:val="00534C02"/>
    <w:rsid w:val="00534E3D"/>
    <w:rsid w:val="005353A4"/>
    <w:rsid w:val="00535AA0"/>
    <w:rsid w:val="00540FD2"/>
    <w:rsid w:val="005419B6"/>
    <w:rsid w:val="00541D49"/>
    <w:rsid w:val="005422AC"/>
    <w:rsid w:val="0054230E"/>
    <w:rsid w:val="0054264B"/>
    <w:rsid w:val="00542A07"/>
    <w:rsid w:val="00542B60"/>
    <w:rsid w:val="005432FE"/>
    <w:rsid w:val="00543786"/>
    <w:rsid w:val="0054440F"/>
    <w:rsid w:val="00544680"/>
    <w:rsid w:val="00546563"/>
    <w:rsid w:val="00547BA4"/>
    <w:rsid w:val="00550149"/>
    <w:rsid w:val="005533D7"/>
    <w:rsid w:val="005539D5"/>
    <w:rsid w:val="00553D3D"/>
    <w:rsid w:val="00553F0E"/>
    <w:rsid w:val="005542DF"/>
    <w:rsid w:val="00556378"/>
    <w:rsid w:val="00556960"/>
    <w:rsid w:val="00557CFC"/>
    <w:rsid w:val="0056050C"/>
    <w:rsid w:val="00561EC1"/>
    <w:rsid w:val="00561FB8"/>
    <w:rsid w:val="005641E8"/>
    <w:rsid w:val="00564678"/>
    <w:rsid w:val="00564B4A"/>
    <w:rsid w:val="005650B9"/>
    <w:rsid w:val="0056594F"/>
    <w:rsid w:val="005703DE"/>
    <w:rsid w:val="005715C2"/>
    <w:rsid w:val="005725B0"/>
    <w:rsid w:val="0057395A"/>
    <w:rsid w:val="00575615"/>
    <w:rsid w:val="0058237E"/>
    <w:rsid w:val="00582876"/>
    <w:rsid w:val="0058464E"/>
    <w:rsid w:val="005864FF"/>
    <w:rsid w:val="0058740D"/>
    <w:rsid w:val="00587619"/>
    <w:rsid w:val="005906DD"/>
    <w:rsid w:val="0059233A"/>
    <w:rsid w:val="005943FF"/>
    <w:rsid w:val="00594874"/>
    <w:rsid w:val="005949C7"/>
    <w:rsid w:val="00595E84"/>
    <w:rsid w:val="00596B45"/>
    <w:rsid w:val="005A01CB"/>
    <w:rsid w:val="005A0B06"/>
    <w:rsid w:val="005A16C8"/>
    <w:rsid w:val="005A3545"/>
    <w:rsid w:val="005A3846"/>
    <w:rsid w:val="005A3D09"/>
    <w:rsid w:val="005A4CAF"/>
    <w:rsid w:val="005A58FF"/>
    <w:rsid w:val="005A5EAF"/>
    <w:rsid w:val="005A64C0"/>
    <w:rsid w:val="005A665D"/>
    <w:rsid w:val="005A68F9"/>
    <w:rsid w:val="005A7ACF"/>
    <w:rsid w:val="005B095F"/>
    <w:rsid w:val="005B0968"/>
    <w:rsid w:val="005B3A71"/>
    <w:rsid w:val="005B3C11"/>
    <w:rsid w:val="005B4BF8"/>
    <w:rsid w:val="005B6AE4"/>
    <w:rsid w:val="005C08DD"/>
    <w:rsid w:val="005C1529"/>
    <w:rsid w:val="005C1C28"/>
    <w:rsid w:val="005C2C5A"/>
    <w:rsid w:val="005C461B"/>
    <w:rsid w:val="005C5C45"/>
    <w:rsid w:val="005C5CFA"/>
    <w:rsid w:val="005C6DB5"/>
    <w:rsid w:val="005C705F"/>
    <w:rsid w:val="005D000C"/>
    <w:rsid w:val="005D1FF6"/>
    <w:rsid w:val="005D286D"/>
    <w:rsid w:val="005D33ED"/>
    <w:rsid w:val="005D356E"/>
    <w:rsid w:val="005D4AE2"/>
    <w:rsid w:val="005D595E"/>
    <w:rsid w:val="005D6C67"/>
    <w:rsid w:val="005D6F49"/>
    <w:rsid w:val="005E0060"/>
    <w:rsid w:val="005E0C43"/>
    <w:rsid w:val="005E19E7"/>
    <w:rsid w:val="005E1CD6"/>
    <w:rsid w:val="005E3A99"/>
    <w:rsid w:val="005E4B06"/>
    <w:rsid w:val="005E5A6C"/>
    <w:rsid w:val="005E65D9"/>
    <w:rsid w:val="005E6B3E"/>
    <w:rsid w:val="005F386F"/>
    <w:rsid w:val="005F3A27"/>
    <w:rsid w:val="005F3B8B"/>
    <w:rsid w:val="005F3F70"/>
    <w:rsid w:val="005F400D"/>
    <w:rsid w:val="005F463D"/>
    <w:rsid w:val="005F4672"/>
    <w:rsid w:val="005F4EFF"/>
    <w:rsid w:val="005F4FB4"/>
    <w:rsid w:val="005F7866"/>
    <w:rsid w:val="005F7DB7"/>
    <w:rsid w:val="00600916"/>
    <w:rsid w:val="00600C3C"/>
    <w:rsid w:val="00600D6C"/>
    <w:rsid w:val="00601564"/>
    <w:rsid w:val="0060186B"/>
    <w:rsid w:val="00601E85"/>
    <w:rsid w:val="006032E5"/>
    <w:rsid w:val="0060335D"/>
    <w:rsid w:val="00603916"/>
    <w:rsid w:val="00604249"/>
    <w:rsid w:val="00605ED4"/>
    <w:rsid w:val="00610941"/>
    <w:rsid w:val="00611637"/>
    <w:rsid w:val="00612BAA"/>
    <w:rsid w:val="00612C23"/>
    <w:rsid w:val="00613C06"/>
    <w:rsid w:val="006169B6"/>
    <w:rsid w:val="0061716C"/>
    <w:rsid w:val="00620A72"/>
    <w:rsid w:val="00620CDD"/>
    <w:rsid w:val="00621764"/>
    <w:rsid w:val="006243A1"/>
    <w:rsid w:val="00624816"/>
    <w:rsid w:val="00625B90"/>
    <w:rsid w:val="006274A7"/>
    <w:rsid w:val="00631483"/>
    <w:rsid w:val="006323B1"/>
    <w:rsid w:val="00632E56"/>
    <w:rsid w:val="00633920"/>
    <w:rsid w:val="00635811"/>
    <w:rsid w:val="00635CBA"/>
    <w:rsid w:val="00637AB5"/>
    <w:rsid w:val="00640B6A"/>
    <w:rsid w:val="00640C71"/>
    <w:rsid w:val="00641FB5"/>
    <w:rsid w:val="00642CF8"/>
    <w:rsid w:val="00642F83"/>
    <w:rsid w:val="0064338B"/>
    <w:rsid w:val="00643DCB"/>
    <w:rsid w:val="00645C16"/>
    <w:rsid w:val="00646542"/>
    <w:rsid w:val="006469CD"/>
    <w:rsid w:val="006504F4"/>
    <w:rsid w:val="00652DD4"/>
    <w:rsid w:val="00652E43"/>
    <w:rsid w:val="00654456"/>
    <w:rsid w:val="00654BC9"/>
    <w:rsid w:val="006552FD"/>
    <w:rsid w:val="006557F2"/>
    <w:rsid w:val="00657196"/>
    <w:rsid w:val="00660724"/>
    <w:rsid w:val="00660A4C"/>
    <w:rsid w:val="006614B3"/>
    <w:rsid w:val="00662187"/>
    <w:rsid w:val="00662734"/>
    <w:rsid w:val="00663AF3"/>
    <w:rsid w:val="00663EF0"/>
    <w:rsid w:val="0066425F"/>
    <w:rsid w:val="00665C99"/>
    <w:rsid w:val="0066650F"/>
    <w:rsid w:val="006665E2"/>
    <w:rsid w:val="00666895"/>
    <w:rsid w:val="00666B6C"/>
    <w:rsid w:val="00667A74"/>
    <w:rsid w:val="00667DC9"/>
    <w:rsid w:val="00670B8B"/>
    <w:rsid w:val="006720AC"/>
    <w:rsid w:val="0067231F"/>
    <w:rsid w:val="00672552"/>
    <w:rsid w:val="006729DF"/>
    <w:rsid w:val="00672ECD"/>
    <w:rsid w:val="0067527E"/>
    <w:rsid w:val="00676A16"/>
    <w:rsid w:val="0067743E"/>
    <w:rsid w:val="0068122A"/>
    <w:rsid w:val="006818E9"/>
    <w:rsid w:val="00681975"/>
    <w:rsid w:val="00682682"/>
    <w:rsid w:val="00682702"/>
    <w:rsid w:val="00683B9B"/>
    <w:rsid w:val="00684090"/>
    <w:rsid w:val="006848F5"/>
    <w:rsid w:val="00686473"/>
    <w:rsid w:val="00686BD3"/>
    <w:rsid w:val="00686FE8"/>
    <w:rsid w:val="006909CF"/>
    <w:rsid w:val="0069112B"/>
    <w:rsid w:val="00692368"/>
    <w:rsid w:val="00694D35"/>
    <w:rsid w:val="00694FB8"/>
    <w:rsid w:val="006A0A8E"/>
    <w:rsid w:val="006A0D83"/>
    <w:rsid w:val="006A1079"/>
    <w:rsid w:val="006A178F"/>
    <w:rsid w:val="006A2490"/>
    <w:rsid w:val="006A2EBC"/>
    <w:rsid w:val="006A45DE"/>
    <w:rsid w:val="006A55E8"/>
    <w:rsid w:val="006A5EA0"/>
    <w:rsid w:val="006A73EF"/>
    <w:rsid w:val="006A783B"/>
    <w:rsid w:val="006A7B33"/>
    <w:rsid w:val="006B142B"/>
    <w:rsid w:val="006B4E13"/>
    <w:rsid w:val="006B5F88"/>
    <w:rsid w:val="006B6B25"/>
    <w:rsid w:val="006B75DD"/>
    <w:rsid w:val="006C0AE3"/>
    <w:rsid w:val="006C1584"/>
    <w:rsid w:val="006C2FBC"/>
    <w:rsid w:val="006C45ED"/>
    <w:rsid w:val="006C5E16"/>
    <w:rsid w:val="006C67E0"/>
    <w:rsid w:val="006C6990"/>
    <w:rsid w:val="006C7152"/>
    <w:rsid w:val="006C7694"/>
    <w:rsid w:val="006C7ABA"/>
    <w:rsid w:val="006D00A0"/>
    <w:rsid w:val="006D0D60"/>
    <w:rsid w:val="006D1122"/>
    <w:rsid w:val="006D14BB"/>
    <w:rsid w:val="006D17F8"/>
    <w:rsid w:val="006D181B"/>
    <w:rsid w:val="006D1B5F"/>
    <w:rsid w:val="006D2A8F"/>
    <w:rsid w:val="006D31AF"/>
    <w:rsid w:val="006D3C00"/>
    <w:rsid w:val="006D4A2E"/>
    <w:rsid w:val="006D4D3A"/>
    <w:rsid w:val="006D610F"/>
    <w:rsid w:val="006D661B"/>
    <w:rsid w:val="006D66DE"/>
    <w:rsid w:val="006D7F9B"/>
    <w:rsid w:val="006E13AF"/>
    <w:rsid w:val="006E155E"/>
    <w:rsid w:val="006E1A3A"/>
    <w:rsid w:val="006E279E"/>
    <w:rsid w:val="006E332A"/>
    <w:rsid w:val="006E3675"/>
    <w:rsid w:val="006E4442"/>
    <w:rsid w:val="006E4A7F"/>
    <w:rsid w:val="006E56FB"/>
    <w:rsid w:val="006E59CF"/>
    <w:rsid w:val="006E6324"/>
    <w:rsid w:val="006E65D4"/>
    <w:rsid w:val="006F276A"/>
    <w:rsid w:val="006F5434"/>
    <w:rsid w:val="006F547E"/>
    <w:rsid w:val="006F5B09"/>
    <w:rsid w:val="006F6425"/>
    <w:rsid w:val="006F656A"/>
    <w:rsid w:val="006F669B"/>
    <w:rsid w:val="006F79A0"/>
    <w:rsid w:val="0070191B"/>
    <w:rsid w:val="00701FCD"/>
    <w:rsid w:val="0070243E"/>
    <w:rsid w:val="00702775"/>
    <w:rsid w:val="00704DF6"/>
    <w:rsid w:val="00705F50"/>
    <w:rsid w:val="0070651C"/>
    <w:rsid w:val="007070D0"/>
    <w:rsid w:val="0071026B"/>
    <w:rsid w:val="00710DB2"/>
    <w:rsid w:val="0071152E"/>
    <w:rsid w:val="007117FB"/>
    <w:rsid w:val="00711E5F"/>
    <w:rsid w:val="00711E7B"/>
    <w:rsid w:val="007132A3"/>
    <w:rsid w:val="00715043"/>
    <w:rsid w:val="007153C2"/>
    <w:rsid w:val="00715D42"/>
    <w:rsid w:val="00716126"/>
    <w:rsid w:val="00716421"/>
    <w:rsid w:val="00716DFA"/>
    <w:rsid w:val="007178D6"/>
    <w:rsid w:val="00721A87"/>
    <w:rsid w:val="00721F94"/>
    <w:rsid w:val="0072297B"/>
    <w:rsid w:val="00724EFB"/>
    <w:rsid w:val="00725B24"/>
    <w:rsid w:val="0072600F"/>
    <w:rsid w:val="007266DE"/>
    <w:rsid w:val="00730AEA"/>
    <w:rsid w:val="00731830"/>
    <w:rsid w:val="00732110"/>
    <w:rsid w:val="00732470"/>
    <w:rsid w:val="00733AFE"/>
    <w:rsid w:val="00733F31"/>
    <w:rsid w:val="00734430"/>
    <w:rsid w:val="00734D02"/>
    <w:rsid w:val="007354D2"/>
    <w:rsid w:val="007357A4"/>
    <w:rsid w:val="00736A34"/>
    <w:rsid w:val="007371ED"/>
    <w:rsid w:val="00740098"/>
    <w:rsid w:val="0074111A"/>
    <w:rsid w:val="007416E8"/>
    <w:rsid w:val="007419C3"/>
    <w:rsid w:val="00741E61"/>
    <w:rsid w:val="00742764"/>
    <w:rsid w:val="007447FF"/>
    <w:rsid w:val="00745C9C"/>
    <w:rsid w:val="007461A8"/>
    <w:rsid w:val="007467A7"/>
    <w:rsid w:val="007469DD"/>
    <w:rsid w:val="0074741B"/>
    <w:rsid w:val="0074759E"/>
    <w:rsid w:val="007478EA"/>
    <w:rsid w:val="007505E3"/>
    <w:rsid w:val="0075061D"/>
    <w:rsid w:val="007508C0"/>
    <w:rsid w:val="0075099D"/>
    <w:rsid w:val="00750B62"/>
    <w:rsid w:val="00752113"/>
    <w:rsid w:val="00752831"/>
    <w:rsid w:val="00752868"/>
    <w:rsid w:val="007530CC"/>
    <w:rsid w:val="007540E2"/>
    <w:rsid w:val="0075415C"/>
    <w:rsid w:val="00757205"/>
    <w:rsid w:val="00757AD5"/>
    <w:rsid w:val="00760DF2"/>
    <w:rsid w:val="00763502"/>
    <w:rsid w:val="007656EA"/>
    <w:rsid w:val="00766360"/>
    <w:rsid w:val="00766B2E"/>
    <w:rsid w:val="00766C18"/>
    <w:rsid w:val="00766EC5"/>
    <w:rsid w:val="00767246"/>
    <w:rsid w:val="0076758C"/>
    <w:rsid w:val="007706B4"/>
    <w:rsid w:val="00771B93"/>
    <w:rsid w:val="007725F3"/>
    <w:rsid w:val="007729B1"/>
    <w:rsid w:val="007733FE"/>
    <w:rsid w:val="007744CE"/>
    <w:rsid w:val="00774698"/>
    <w:rsid w:val="00777DD2"/>
    <w:rsid w:val="00780038"/>
    <w:rsid w:val="00780087"/>
    <w:rsid w:val="00780CBC"/>
    <w:rsid w:val="007811AB"/>
    <w:rsid w:val="00782871"/>
    <w:rsid w:val="0078599E"/>
    <w:rsid w:val="00785F5F"/>
    <w:rsid w:val="00785F92"/>
    <w:rsid w:val="00787C54"/>
    <w:rsid w:val="0079086E"/>
    <w:rsid w:val="00790B68"/>
    <w:rsid w:val="007913AB"/>
    <w:rsid w:val="007914F7"/>
    <w:rsid w:val="00791BE2"/>
    <w:rsid w:val="0079216A"/>
    <w:rsid w:val="00792606"/>
    <w:rsid w:val="00792878"/>
    <w:rsid w:val="00792BD9"/>
    <w:rsid w:val="00793088"/>
    <w:rsid w:val="00793F34"/>
    <w:rsid w:val="00794ADC"/>
    <w:rsid w:val="007959D3"/>
    <w:rsid w:val="00795D33"/>
    <w:rsid w:val="0079754E"/>
    <w:rsid w:val="007A1080"/>
    <w:rsid w:val="007A1577"/>
    <w:rsid w:val="007A2112"/>
    <w:rsid w:val="007A34C7"/>
    <w:rsid w:val="007A35CE"/>
    <w:rsid w:val="007A48C7"/>
    <w:rsid w:val="007A4A44"/>
    <w:rsid w:val="007A675A"/>
    <w:rsid w:val="007A7C97"/>
    <w:rsid w:val="007B0BB6"/>
    <w:rsid w:val="007B1625"/>
    <w:rsid w:val="007B5682"/>
    <w:rsid w:val="007B5BF5"/>
    <w:rsid w:val="007B5D1B"/>
    <w:rsid w:val="007B67EE"/>
    <w:rsid w:val="007B706E"/>
    <w:rsid w:val="007B71EB"/>
    <w:rsid w:val="007B7EEC"/>
    <w:rsid w:val="007C0397"/>
    <w:rsid w:val="007C1C52"/>
    <w:rsid w:val="007C3944"/>
    <w:rsid w:val="007C4676"/>
    <w:rsid w:val="007C468A"/>
    <w:rsid w:val="007C55D2"/>
    <w:rsid w:val="007C6205"/>
    <w:rsid w:val="007C6636"/>
    <w:rsid w:val="007C686A"/>
    <w:rsid w:val="007C7286"/>
    <w:rsid w:val="007C728E"/>
    <w:rsid w:val="007D0D7D"/>
    <w:rsid w:val="007D1A85"/>
    <w:rsid w:val="007D200E"/>
    <w:rsid w:val="007D279A"/>
    <w:rsid w:val="007D2C53"/>
    <w:rsid w:val="007D2ECD"/>
    <w:rsid w:val="007D3D60"/>
    <w:rsid w:val="007D5F0A"/>
    <w:rsid w:val="007E0FBF"/>
    <w:rsid w:val="007E1980"/>
    <w:rsid w:val="007E29E5"/>
    <w:rsid w:val="007E31B0"/>
    <w:rsid w:val="007E4B76"/>
    <w:rsid w:val="007E500D"/>
    <w:rsid w:val="007E5EA8"/>
    <w:rsid w:val="007E709C"/>
    <w:rsid w:val="007F0C0B"/>
    <w:rsid w:val="007F0CF1"/>
    <w:rsid w:val="007F0F9A"/>
    <w:rsid w:val="007F12A5"/>
    <w:rsid w:val="007F219D"/>
    <w:rsid w:val="007F4CF1"/>
    <w:rsid w:val="007F5A9D"/>
    <w:rsid w:val="007F6161"/>
    <w:rsid w:val="007F61D8"/>
    <w:rsid w:val="007F6602"/>
    <w:rsid w:val="007F6968"/>
    <w:rsid w:val="007F6ED0"/>
    <w:rsid w:val="007F6FEC"/>
    <w:rsid w:val="007F7154"/>
    <w:rsid w:val="007F758D"/>
    <w:rsid w:val="007F7D52"/>
    <w:rsid w:val="00801842"/>
    <w:rsid w:val="008023ED"/>
    <w:rsid w:val="00802B45"/>
    <w:rsid w:val="00804BAB"/>
    <w:rsid w:val="008056F3"/>
    <w:rsid w:val="0080654C"/>
    <w:rsid w:val="00806616"/>
    <w:rsid w:val="00806E18"/>
    <w:rsid w:val="008071C6"/>
    <w:rsid w:val="00807B16"/>
    <w:rsid w:val="00807BBB"/>
    <w:rsid w:val="00807D47"/>
    <w:rsid w:val="008103EE"/>
    <w:rsid w:val="0081088A"/>
    <w:rsid w:val="00812F8E"/>
    <w:rsid w:val="00813A78"/>
    <w:rsid w:val="00816850"/>
    <w:rsid w:val="0081772E"/>
    <w:rsid w:val="00817898"/>
    <w:rsid w:val="00817A00"/>
    <w:rsid w:val="00820961"/>
    <w:rsid w:val="00821C55"/>
    <w:rsid w:val="00822928"/>
    <w:rsid w:val="00822F8F"/>
    <w:rsid w:val="008235C1"/>
    <w:rsid w:val="008243F9"/>
    <w:rsid w:val="008246F8"/>
    <w:rsid w:val="00825A11"/>
    <w:rsid w:val="00826CC7"/>
    <w:rsid w:val="0082756F"/>
    <w:rsid w:val="00830CC2"/>
    <w:rsid w:val="00831B7E"/>
    <w:rsid w:val="00833761"/>
    <w:rsid w:val="0083378D"/>
    <w:rsid w:val="00833A90"/>
    <w:rsid w:val="00835DB3"/>
    <w:rsid w:val="00836094"/>
    <w:rsid w:val="0083617B"/>
    <w:rsid w:val="008368D3"/>
    <w:rsid w:val="00836DC7"/>
    <w:rsid w:val="00836DD6"/>
    <w:rsid w:val="008371BD"/>
    <w:rsid w:val="00842077"/>
    <w:rsid w:val="00844727"/>
    <w:rsid w:val="008462A0"/>
    <w:rsid w:val="008465D8"/>
    <w:rsid w:val="008504A8"/>
    <w:rsid w:val="00852496"/>
    <w:rsid w:val="0085282E"/>
    <w:rsid w:val="00853877"/>
    <w:rsid w:val="00853971"/>
    <w:rsid w:val="00853992"/>
    <w:rsid w:val="008551BB"/>
    <w:rsid w:val="00855272"/>
    <w:rsid w:val="00855292"/>
    <w:rsid w:val="00855692"/>
    <w:rsid w:val="00855C58"/>
    <w:rsid w:val="00856BC7"/>
    <w:rsid w:val="00861623"/>
    <w:rsid w:val="0086378D"/>
    <w:rsid w:val="00863DBE"/>
    <w:rsid w:val="00866577"/>
    <w:rsid w:val="00866C15"/>
    <w:rsid w:val="00866D14"/>
    <w:rsid w:val="00867767"/>
    <w:rsid w:val="008701D8"/>
    <w:rsid w:val="00870F0C"/>
    <w:rsid w:val="008718E8"/>
    <w:rsid w:val="0087198C"/>
    <w:rsid w:val="00872C1F"/>
    <w:rsid w:val="00873B42"/>
    <w:rsid w:val="00874DFE"/>
    <w:rsid w:val="00876801"/>
    <w:rsid w:val="008773A9"/>
    <w:rsid w:val="00877F67"/>
    <w:rsid w:val="00877FF4"/>
    <w:rsid w:val="00881552"/>
    <w:rsid w:val="008835BA"/>
    <w:rsid w:val="00883A8A"/>
    <w:rsid w:val="00884427"/>
    <w:rsid w:val="0088446D"/>
    <w:rsid w:val="00884F98"/>
    <w:rsid w:val="008856D8"/>
    <w:rsid w:val="008865B5"/>
    <w:rsid w:val="00886A44"/>
    <w:rsid w:val="00887009"/>
    <w:rsid w:val="00887A0A"/>
    <w:rsid w:val="00887AD0"/>
    <w:rsid w:val="008907EA"/>
    <w:rsid w:val="008913C6"/>
    <w:rsid w:val="008915C1"/>
    <w:rsid w:val="00892112"/>
    <w:rsid w:val="00892C99"/>
    <w:rsid w:val="00892E82"/>
    <w:rsid w:val="00893431"/>
    <w:rsid w:val="00893C9D"/>
    <w:rsid w:val="00894F4A"/>
    <w:rsid w:val="008959D7"/>
    <w:rsid w:val="00895AF0"/>
    <w:rsid w:val="00896D26"/>
    <w:rsid w:val="0089763B"/>
    <w:rsid w:val="008A09E7"/>
    <w:rsid w:val="008A153C"/>
    <w:rsid w:val="008A17A0"/>
    <w:rsid w:val="008A2490"/>
    <w:rsid w:val="008A2B13"/>
    <w:rsid w:val="008A3182"/>
    <w:rsid w:val="008A5295"/>
    <w:rsid w:val="008A599E"/>
    <w:rsid w:val="008A5A28"/>
    <w:rsid w:val="008A6063"/>
    <w:rsid w:val="008A636D"/>
    <w:rsid w:val="008A77A6"/>
    <w:rsid w:val="008A787A"/>
    <w:rsid w:val="008B0842"/>
    <w:rsid w:val="008B0E0D"/>
    <w:rsid w:val="008B3FD3"/>
    <w:rsid w:val="008B6B9B"/>
    <w:rsid w:val="008B6C40"/>
    <w:rsid w:val="008B738E"/>
    <w:rsid w:val="008C044F"/>
    <w:rsid w:val="008C0D6A"/>
    <w:rsid w:val="008C0DEB"/>
    <w:rsid w:val="008C1B58"/>
    <w:rsid w:val="008C39AE"/>
    <w:rsid w:val="008C45FE"/>
    <w:rsid w:val="008C5187"/>
    <w:rsid w:val="008C590D"/>
    <w:rsid w:val="008C5F44"/>
    <w:rsid w:val="008C6060"/>
    <w:rsid w:val="008D0F8F"/>
    <w:rsid w:val="008D16D3"/>
    <w:rsid w:val="008D393E"/>
    <w:rsid w:val="008D6C8B"/>
    <w:rsid w:val="008E031B"/>
    <w:rsid w:val="008E0D46"/>
    <w:rsid w:val="008E2395"/>
    <w:rsid w:val="008E23D3"/>
    <w:rsid w:val="008E2643"/>
    <w:rsid w:val="008E2D8D"/>
    <w:rsid w:val="008E522B"/>
    <w:rsid w:val="008E530F"/>
    <w:rsid w:val="008E5848"/>
    <w:rsid w:val="008E7029"/>
    <w:rsid w:val="008E7EF6"/>
    <w:rsid w:val="008F024D"/>
    <w:rsid w:val="008F1F98"/>
    <w:rsid w:val="008F40DA"/>
    <w:rsid w:val="008F497B"/>
    <w:rsid w:val="008F6758"/>
    <w:rsid w:val="0090030C"/>
    <w:rsid w:val="009016AA"/>
    <w:rsid w:val="009019A2"/>
    <w:rsid w:val="00902141"/>
    <w:rsid w:val="009040DD"/>
    <w:rsid w:val="0090537D"/>
    <w:rsid w:val="00905B47"/>
    <w:rsid w:val="00906C69"/>
    <w:rsid w:val="0090767A"/>
    <w:rsid w:val="009100B7"/>
    <w:rsid w:val="00910587"/>
    <w:rsid w:val="009105E8"/>
    <w:rsid w:val="0091174A"/>
    <w:rsid w:val="00912C82"/>
    <w:rsid w:val="0091331C"/>
    <w:rsid w:val="0091669F"/>
    <w:rsid w:val="0091696C"/>
    <w:rsid w:val="00916BFB"/>
    <w:rsid w:val="00917C63"/>
    <w:rsid w:val="00920D9F"/>
    <w:rsid w:val="00922896"/>
    <w:rsid w:val="00923D80"/>
    <w:rsid w:val="009246D8"/>
    <w:rsid w:val="00924939"/>
    <w:rsid w:val="00924FD0"/>
    <w:rsid w:val="00925F7E"/>
    <w:rsid w:val="009279DE"/>
    <w:rsid w:val="00930116"/>
    <w:rsid w:val="0093038E"/>
    <w:rsid w:val="00932439"/>
    <w:rsid w:val="009346C6"/>
    <w:rsid w:val="00934857"/>
    <w:rsid w:val="009406A1"/>
    <w:rsid w:val="009406DD"/>
    <w:rsid w:val="00941F50"/>
    <w:rsid w:val="0094212C"/>
    <w:rsid w:val="009426C2"/>
    <w:rsid w:val="00943315"/>
    <w:rsid w:val="00943327"/>
    <w:rsid w:val="00945716"/>
    <w:rsid w:val="00946336"/>
    <w:rsid w:val="00947B34"/>
    <w:rsid w:val="00947B4F"/>
    <w:rsid w:val="00950183"/>
    <w:rsid w:val="009504C2"/>
    <w:rsid w:val="009507BF"/>
    <w:rsid w:val="00950F07"/>
    <w:rsid w:val="00951305"/>
    <w:rsid w:val="00952D20"/>
    <w:rsid w:val="0095355D"/>
    <w:rsid w:val="00954094"/>
    <w:rsid w:val="00954689"/>
    <w:rsid w:val="0095749C"/>
    <w:rsid w:val="009574E0"/>
    <w:rsid w:val="009602D6"/>
    <w:rsid w:val="00960567"/>
    <w:rsid w:val="0096089B"/>
    <w:rsid w:val="00961352"/>
    <w:rsid w:val="00961676"/>
    <w:rsid w:val="009617C9"/>
    <w:rsid w:val="00961C93"/>
    <w:rsid w:val="00963641"/>
    <w:rsid w:val="00964DE7"/>
    <w:rsid w:val="00965324"/>
    <w:rsid w:val="00966437"/>
    <w:rsid w:val="0097043E"/>
    <w:rsid w:val="0097091E"/>
    <w:rsid w:val="00972C47"/>
    <w:rsid w:val="00973D34"/>
    <w:rsid w:val="0097545B"/>
    <w:rsid w:val="00975ACA"/>
    <w:rsid w:val="009760D3"/>
    <w:rsid w:val="00977132"/>
    <w:rsid w:val="00981A4B"/>
    <w:rsid w:val="00982501"/>
    <w:rsid w:val="00983E66"/>
    <w:rsid w:val="00985594"/>
    <w:rsid w:val="009877D3"/>
    <w:rsid w:val="0099030C"/>
    <w:rsid w:val="009914DA"/>
    <w:rsid w:val="00991650"/>
    <w:rsid w:val="00991943"/>
    <w:rsid w:val="009927D7"/>
    <w:rsid w:val="00994E8F"/>
    <w:rsid w:val="009951DC"/>
    <w:rsid w:val="009959BB"/>
    <w:rsid w:val="00996B03"/>
    <w:rsid w:val="00997158"/>
    <w:rsid w:val="0099774A"/>
    <w:rsid w:val="009A033D"/>
    <w:rsid w:val="009A280C"/>
    <w:rsid w:val="009A3140"/>
    <w:rsid w:val="009A3A7C"/>
    <w:rsid w:val="009A505B"/>
    <w:rsid w:val="009A54A9"/>
    <w:rsid w:val="009A54F9"/>
    <w:rsid w:val="009A658C"/>
    <w:rsid w:val="009A7224"/>
    <w:rsid w:val="009A7679"/>
    <w:rsid w:val="009B01A0"/>
    <w:rsid w:val="009B0F5C"/>
    <w:rsid w:val="009B2ADB"/>
    <w:rsid w:val="009B37CD"/>
    <w:rsid w:val="009B3DDE"/>
    <w:rsid w:val="009B4E9E"/>
    <w:rsid w:val="009B5F9E"/>
    <w:rsid w:val="009B603A"/>
    <w:rsid w:val="009B6416"/>
    <w:rsid w:val="009B6F60"/>
    <w:rsid w:val="009B793A"/>
    <w:rsid w:val="009C1FE6"/>
    <w:rsid w:val="009C23C3"/>
    <w:rsid w:val="009C2D0E"/>
    <w:rsid w:val="009C3DAC"/>
    <w:rsid w:val="009C4284"/>
    <w:rsid w:val="009C42E0"/>
    <w:rsid w:val="009C626F"/>
    <w:rsid w:val="009C7584"/>
    <w:rsid w:val="009D058C"/>
    <w:rsid w:val="009D0B77"/>
    <w:rsid w:val="009D0B90"/>
    <w:rsid w:val="009D1552"/>
    <w:rsid w:val="009D36E0"/>
    <w:rsid w:val="009D4B66"/>
    <w:rsid w:val="009D4D57"/>
    <w:rsid w:val="009D5344"/>
    <w:rsid w:val="009D5362"/>
    <w:rsid w:val="009D56C4"/>
    <w:rsid w:val="009D5C89"/>
    <w:rsid w:val="009D63E2"/>
    <w:rsid w:val="009E0881"/>
    <w:rsid w:val="009E0D20"/>
    <w:rsid w:val="009E1415"/>
    <w:rsid w:val="009E45E6"/>
    <w:rsid w:val="009E47DF"/>
    <w:rsid w:val="009E563B"/>
    <w:rsid w:val="009E5743"/>
    <w:rsid w:val="009E58FD"/>
    <w:rsid w:val="009E5B34"/>
    <w:rsid w:val="009E6116"/>
    <w:rsid w:val="009F1403"/>
    <w:rsid w:val="009F175E"/>
    <w:rsid w:val="009F371A"/>
    <w:rsid w:val="009F55E7"/>
    <w:rsid w:val="009F5EB7"/>
    <w:rsid w:val="00A00886"/>
    <w:rsid w:val="00A00E04"/>
    <w:rsid w:val="00A012D3"/>
    <w:rsid w:val="00A028E3"/>
    <w:rsid w:val="00A02E43"/>
    <w:rsid w:val="00A03959"/>
    <w:rsid w:val="00A03B2F"/>
    <w:rsid w:val="00A03D83"/>
    <w:rsid w:val="00A05CE1"/>
    <w:rsid w:val="00A065F9"/>
    <w:rsid w:val="00A07F34"/>
    <w:rsid w:val="00A1078E"/>
    <w:rsid w:val="00A11F7D"/>
    <w:rsid w:val="00A1286F"/>
    <w:rsid w:val="00A13284"/>
    <w:rsid w:val="00A13BB9"/>
    <w:rsid w:val="00A14544"/>
    <w:rsid w:val="00A14C4C"/>
    <w:rsid w:val="00A1681D"/>
    <w:rsid w:val="00A16A6A"/>
    <w:rsid w:val="00A22154"/>
    <w:rsid w:val="00A2260C"/>
    <w:rsid w:val="00A22982"/>
    <w:rsid w:val="00A2475E"/>
    <w:rsid w:val="00A24C14"/>
    <w:rsid w:val="00A24C46"/>
    <w:rsid w:val="00A25118"/>
    <w:rsid w:val="00A25C38"/>
    <w:rsid w:val="00A25D2A"/>
    <w:rsid w:val="00A2637C"/>
    <w:rsid w:val="00A27EDE"/>
    <w:rsid w:val="00A3422C"/>
    <w:rsid w:val="00A34298"/>
    <w:rsid w:val="00A35D72"/>
    <w:rsid w:val="00A36BBE"/>
    <w:rsid w:val="00A37631"/>
    <w:rsid w:val="00A40D5F"/>
    <w:rsid w:val="00A42646"/>
    <w:rsid w:val="00A42D7A"/>
    <w:rsid w:val="00A43064"/>
    <w:rsid w:val="00A4307A"/>
    <w:rsid w:val="00A432C2"/>
    <w:rsid w:val="00A437D5"/>
    <w:rsid w:val="00A43C64"/>
    <w:rsid w:val="00A44287"/>
    <w:rsid w:val="00A45762"/>
    <w:rsid w:val="00A4632E"/>
    <w:rsid w:val="00A47EBB"/>
    <w:rsid w:val="00A5167B"/>
    <w:rsid w:val="00A51CDD"/>
    <w:rsid w:val="00A5247E"/>
    <w:rsid w:val="00A52FCB"/>
    <w:rsid w:val="00A53366"/>
    <w:rsid w:val="00A546BB"/>
    <w:rsid w:val="00A557DE"/>
    <w:rsid w:val="00A56EB4"/>
    <w:rsid w:val="00A60C85"/>
    <w:rsid w:val="00A610B3"/>
    <w:rsid w:val="00A61225"/>
    <w:rsid w:val="00A61A9C"/>
    <w:rsid w:val="00A61FCD"/>
    <w:rsid w:val="00A624DC"/>
    <w:rsid w:val="00A64BED"/>
    <w:rsid w:val="00A656CB"/>
    <w:rsid w:val="00A65EA3"/>
    <w:rsid w:val="00A6730D"/>
    <w:rsid w:val="00A67D54"/>
    <w:rsid w:val="00A7041D"/>
    <w:rsid w:val="00A70ACE"/>
    <w:rsid w:val="00A70C05"/>
    <w:rsid w:val="00A71625"/>
    <w:rsid w:val="00A71B9B"/>
    <w:rsid w:val="00A7216A"/>
    <w:rsid w:val="00A7346F"/>
    <w:rsid w:val="00A751C7"/>
    <w:rsid w:val="00A76409"/>
    <w:rsid w:val="00A77BD1"/>
    <w:rsid w:val="00A80AC2"/>
    <w:rsid w:val="00A81512"/>
    <w:rsid w:val="00A8275C"/>
    <w:rsid w:val="00A855D3"/>
    <w:rsid w:val="00A86793"/>
    <w:rsid w:val="00A86C8F"/>
    <w:rsid w:val="00A877BA"/>
    <w:rsid w:val="00A87844"/>
    <w:rsid w:val="00A92CB0"/>
    <w:rsid w:val="00AA038C"/>
    <w:rsid w:val="00AA2F2B"/>
    <w:rsid w:val="00AA32F1"/>
    <w:rsid w:val="00AA7A09"/>
    <w:rsid w:val="00AA7B85"/>
    <w:rsid w:val="00AB1DD5"/>
    <w:rsid w:val="00AB33C2"/>
    <w:rsid w:val="00AB3B50"/>
    <w:rsid w:val="00AB59A8"/>
    <w:rsid w:val="00AB5D9D"/>
    <w:rsid w:val="00AB6673"/>
    <w:rsid w:val="00AB6DE7"/>
    <w:rsid w:val="00AC05B1"/>
    <w:rsid w:val="00AC1D68"/>
    <w:rsid w:val="00AC2991"/>
    <w:rsid w:val="00AC4B07"/>
    <w:rsid w:val="00AC4F85"/>
    <w:rsid w:val="00AD0B01"/>
    <w:rsid w:val="00AD356C"/>
    <w:rsid w:val="00AD36B8"/>
    <w:rsid w:val="00AD40FB"/>
    <w:rsid w:val="00AD7C40"/>
    <w:rsid w:val="00AE2914"/>
    <w:rsid w:val="00AE3390"/>
    <w:rsid w:val="00AE5AA2"/>
    <w:rsid w:val="00AE6D15"/>
    <w:rsid w:val="00AE6D91"/>
    <w:rsid w:val="00AE7523"/>
    <w:rsid w:val="00AE79F2"/>
    <w:rsid w:val="00AF21B7"/>
    <w:rsid w:val="00AF26B4"/>
    <w:rsid w:val="00AF283F"/>
    <w:rsid w:val="00AF3C3E"/>
    <w:rsid w:val="00AF4F67"/>
    <w:rsid w:val="00AF53B5"/>
    <w:rsid w:val="00B005A9"/>
    <w:rsid w:val="00B01392"/>
    <w:rsid w:val="00B01516"/>
    <w:rsid w:val="00B02614"/>
    <w:rsid w:val="00B02DBF"/>
    <w:rsid w:val="00B035B6"/>
    <w:rsid w:val="00B03902"/>
    <w:rsid w:val="00B04182"/>
    <w:rsid w:val="00B053A3"/>
    <w:rsid w:val="00B05FDA"/>
    <w:rsid w:val="00B06778"/>
    <w:rsid w:val="00B06874"/>
    <w:rsid w:val="00B075BC"/>
    <w:rsid w:val="00B07AE3"/>
    <w:rsid w:val="00B1110D"/>
    <w:rsid w:val="00B11430"/>
    <w:rsid w:val="00B12344"/>
    <w:rsid w:val="00B128AE"/>
    <w:rsid w:val="00B12ABA"/>
    <w:rsid w:val="00B13137"/>
    <w:rsid w:val="00B145BE"/>
    <w:rsid w:val="00B14C89"/>
    <w:rsid w:val="00B1556C"/>
    <w:rsid w:val="00B171BC"/>
    <w:rsid w:val="00B173E2"/>
    <w:rsid w:val="00B17CA8"/>
    <w:rsid w:val="00B20586"/>
    <w:rsid w:val="00B20AE8"/>
    <w:rsid w:val="00B20BB4"/>
    <w:rsid w:val="00B2575E"/>
    <w:rsid w:val="00B26081"/>
    <w:rsid w:val="00B266AF"/>
    <w:rsid w:val="00B30566"/>
    <w:rsid w:val="00B31340"/>
    <w:rsid w:val="00B33DB7"/>
    <w:rsid w:val="00B3463A"/>
    <w:rsid w:val="00B353EB"/>
    <w:rsid w:val="00B357EE"/>
    <w:rsid w:val="00B35D82"/>
    <w:rsid w:val="00B36602"/>
    <w:rsid w:val="00B36E23"/>
    <w:rsid w:val="00B37A37"/>
    <w:rsid w:val="00B400C9"/>
    <w:rsid w:val="00B40328"/>
    <w:rsid w:val="00B40B60"/>
    <w:rsid w:val="00B40F1F"/>
    <w:rsid w:val="00B413C1"/>
    <w:rsid w:val="00B42443"/>
    <w:rsid w:val="00B42EE8"/>
    <w:rsid w:val="00B439C4"/>
    <w:rsid w:val="00B44AC3"/>
    <w:rsid w:val="00B4535E"/>
    <w:rsid w:val="00B456D0"/>
    <w:rsid w:val="00B474C4"/>
    <w:rsid w:val="00B47511"/>
    <w:rsid w:val="00B507C0"/>
    <w:rsid w:val="00B513C8"/>
    <w:rsid w:val="00B51528"/>
    <w:rsid w:val="00B52A8C"/>
    <w:rsid w:val="00B52BA5"/>
    <w:rsid w:val="00B52C07"/>
    <w:rsid w:val="00B576CA"/>
    <w:rsid w:val="00B57FB6"/>
    <w:rsid w:val="00B601BD"/>
    <w:rsid w:val="00B6115C"/>
    <w:rsid w:val="00B62D35"/>
    <w:rsid w:val="00B636A8"/>
    <w:rsid w:val="00B644B8"/>
    <w:rsid w:val="00B645DC"/>
    <w:rsid w:val="00B65A2F"/>
    <w:rsid w:val="00B665C6"/>
    <w:rsid w:val="00B66E18"/>
    <w:rsid w:val="00B677F0"/>
    <w:rsid w:val="00B71DB5"/>
    <w:rsid w:val="00B720C0"/>
    <w:rsid w:val="00B722FE"/>
    <w:rsid w:val="00B73163"/>
    <w:rsid w:val="00B754C4"/>
    <w:rsid w:val="00B77B9D"/>
    <w:rsid w:val="00B805AF"/>
    <w:rsid w:val="00B81987"/>
    <w:rsid w:val="00B821F4"/>
    <w:rsid w:val="00B82469"/>
    <w:rsid w:val="00B82CE7"/>
    <w:rsid w:val="00B83D04"/>
    <w:rsid w:val="00B85BE6"/>
    <w:rsid w:val="00B86421"/>
    <w:rsid w:val="00B869EC"/>
    <w:rsid w:val="00B905BE"/>
    <w:rsid w:val="00B924B7"/>
    <w:rsid w:val="00B92A2B"/>
    <w:rsid w:val="00B9397A"/>
    <w:rsid w:val="00B9633D"/>
    <w:rsid w:val="00B97F36"/>
    <w:rsid w:val="00BA07B5"/>
    <w:rsid w:val="00BA1129"/>
    <w:rsid w:val="00BA18B4"/>
    <w:rsid w:val="00BA2EBE"/>
    <w:rsid w:val="00BA3269"/>
    <w:rsid w:val="00BA3DF7"/>
    <w:rsid w:val="00BA6D48"/>
    <w:rsid w:val="00BA6EB6"/>
    <w:rsid w:val="00BB0219"/>
    <w:rsid w:val="00BB03AD"/>
    <w:rsid w:val="00BB0F28"/>
    <w:rsid w:val="00BB0FE4"/>
    <w:rsid w:val="00BB2607"/>
    <w:rsid w:val="00BB35E6"/>
    <w:rsid w:val="00BB458A"/>
    <w:rsid w:val="00BB53E6"/>
    <w:rsid w:val="00BB61A0"/>
    <w:rsid w:val="00BB63B9"/>
    <w:rsid w:val="00BB6558"/>
    <w:rsid w:val="00BB6A51"/>
    <w:rsid w:val="00BB7304"/>
    <w:rsid w:val="00BB7AE5"/>
    <w:rsid w:val="00BC25BB"/>
    <w:rsid w:val="00BC285B"/>
    <w:rsid w:val="00BC2B34"/>
    <w:rsid w:val="00BC3D4C"/>
    <w:rsid w:val="00BC3F27"/>
    <w:rsid w:val="00BD00D3"/>
    <w:rsid w:val="00BD01B5"/>
    <w:rsid w:val="00BD0A73"/>
    <w:rsid w:val="00BD1659"/>
    <w:rsid w:val="00BD3AA9"/>
    <w:rsid w:val="00BD3D99"/>
    <w:rsid w:val="00BD47EB"/>
    <w:rsid w:val="00BD4A18"/>
    <w:rsid w:val="00BD64A7"/>
    <w:rsid w:val="00BD670B"/>
    <w:rsid w:val="00BD6AAE"/>
    <w:rsid w:val="00BD6DB2"/>
    <w:rsid w:val="00BD727F"/>
    <w:rsid w:val="00BD73C1"/>
    <w:rsid w:val="00BD7C7D"/>
    <w:rsid w:val="00BD7E63"/>
    <w:rsid w:val="00BE00EC"/>
    <w:rsid w:val="00BE0467"/>
    <w:rsid w:val="00BE0B58"/>
    <w:rsid w:val="00BE11CF"/>
    <w:rsid w:val="00BE17FB"/>
    <w:rsid w:val="00BE1B12"/>
    <w:rsid w:val="00BE1FCB"/>
    <w:rsid w:val="00BE21AB"/>
    <w:rsid w:val="00BE275D"/>
    <w:rsid w:val="00BE2AE4"/>
    <w:rsid w:val="00BE3457"/>
    <w:rsid w:val="00BE4CB4"/>
    <w:rsid w:val="00BE53D6"/>
    <w:rsid w:val="00BE544D"/>
    <w:rsid w:val="00BE55CB"/>
    <w:rsid w:val="00BE58A3"/>
    <w:rsid w:val="00BE6414"/>
    <w:rsid w:val="00BE6D12"/>
    <w:rsid w:val="00BE7887"/>
    <w:rsid w:val="00BE7D0D"/>
    <w:rsid w:val="00BE7D69"/>
    <w:rsid w:val="00BF0474"/>
    <w:rsid w:val="00BF0E60"/>
    <w:rsid w:val="00BF149E"/>
    <w:rsid w:val="00BF1EF3"/>
    <w:rsid w:val="00BF27DC"/>
    <w:rsid w:val="00BF29D8"/>
    <w:rsid w:val="00BF617A"/>
    <w:rsid w:val="00BF729C"/>
    <w:rsid w:val="00BF79FC"/>
    <w:rsid w:val="00C003C0"/>
    <w:rsid w:val="00C00D84"/>
    <w:rsid w:val="00C01D81"/>
    <w:rsid w:val="00C01F05"/>
    <w:rsid w:val="00C02096"/>
    <w:rsid w:val="00C0379D"/>
    <w:rsid w:val="00C03931"/>
    <w:rsid w:val="00C05744"/>
    <w:rsid w:val="00C0591E"/>
    <w:rsid w:val="00C059F4"/>
    <w:rsid w:val="00C05AA5"/>
    <w:rsid w:val="00C05FE3"/>
    <w:rsid w:val="00C06C65"/>
    <w:rsid w:val="00C06FE3"/>
    <w:rsid w:val="00C0711D"/>
    <w:rsid w:val="00C1307B"/>
    <w:rsid w:val="00C16108"/>
    <w:rsid w:val="00C161F9"/>
    <w:rsid w:val="00C16D6D"/>
    <w:rsid w:val="00C17393"/>
    <w:rsid w:val="00C211B9"/>
    <w:rsid w:val="00C2136D"/>
    <w:rsid w:val="00C214EE"/>
    <w:rsid w:val="00C2157A"/>
    <w:rsid w:val="00C2178B"/>
    <w:rsid w:val="00C2314B"/>
    <w:rsid w:val="00C24971"/>
    <w:rsid w:val="00C249E8"/>
    <w:rsid w:val="00C24FE6"/>
    <w:rsid w:val="00C25E8C"/>
    <w:rsid w:val="00C26BE5"/>
    <w:rsid w:val="00C26E4D"/>
    <w:rsid w:val="00C27285"/>
    <w:rsid w:val="00C27584"/>
    <w:rsid w:val="00C27909"/>
    <w:rsid w:val="00C27B03"/>
    <w:rsid w:val="00C30E3C"/>
    <w:rsid w:val="00C314E1"/>
    <w:rsid w:val="00C32E55"/>
    <w:rsid w:val="00C32F6C"/>
    <w:rsid w:val="00C34397"/>
    <w:rsid w:val="00C35B92"/>
    <w:rsid w:val="00C4095D"/>
    <w:rsid w:val="00C4123D"/>
    <w:rsid w:val="00C4153C"/>
    <w:rsid w:val="00C42C61"/>
    <w:rsid w:val="00C43166"/>
    <w:rsid w:val="00C432DE"/>
    <w:rsid w:val="00C43EE9"/>
    <w:rsid w:val="00C45999"/>
    <w:rsid w:val="00C464B6"/>
    <w:rsid w:val="00C479D2"/>
    <w:rsid w:val="00C5008F"/>
    <w:rsid w:val="00C51F0F"/>
    <w:rsid w:val="00C52277"/>
    <w:rsid w:val="00C540A4"/>
    <w:rsid w:val="00C54532"/>
    <w:rsid w:val="00C5554D"/>
    <w:rsid w:val="00C55BF1"/>
    <w:rsid w:val="00C56475"/>
    <w:rsid w:val="00C571BF"/>
    <w:rsid w:val="00C5740D"/>
    <w:rsid w:val="00C57FB3"/>
    <w:rsid w:val="00C601D2"/>
    <w:rsid w:val="00C6084D"/>
    <w:rsid w:val="00C61148"/>
    <w:rsid w:val="00C61C06"/>
    <w:rsid w:val="00C62276"/>
    <w:rsid w:val="00C65BCC"/>
    <w:rsid w:val="00C66970"/>
    <w:rsid w:val="00C7008F"/>
    <w:rsid w:val="00C7010D"/>
    <w:rsid w:val="00C7099E"/>
    <w:rsid w:val="00C73B5A"/>
    <w:rsid w:val="00C76445"/>
    <w:rsid w:val="00C80C45"/>
    <w:rsid w:val="00C838BF"/>
    <w:rsid w:val="00C85E0B"/>
    <w:rsid w:val="00C863DD"/>
    <w:rsid w:val="00C8691C"/>
    <w:rsid w:val="00C878B2"/>
    <w:rsid w:val="00C91284"/>
    <w:rsid w:val="00C926E9"/>
    <w:rsid w:val="00C9277A"/>
    <w:rsid w:val="00C9405A"/>
    <w:rsid w:val="00C94F9A"/>
    <w:rsid w:val="00C95C03"/>
    <w:rsid w:val="00C95C12"/>
    <w:rsid w:val="00C96467"/>
    <w:rsid w:val="00C9661F"/>
    <w:rsid w:val="00C97A02"/>
    <w:rsid w:val="00CA00CE"/>
    <w:rsid w:val="00CA0849"/>
    <w:rsid w:val="00CA168A"/>
    <w:rsid w:val="00CA237B"/>
    <w:rsid w:val="00CA2F2D"/>
    <w:rsid w:val="00CA357E"/>
    <w:rsid w:val="00CA44F9"/>
    <w:rsid w:val="00CA4A69"/>
    <w:rsid w:val="00CA4A7F"/>
    <w:rsid w:val="00CA4C78"/>
    <w:rsid w:val="00CA50A6"/>
    <w:rsid w:val="00CA5924"/>
    <w:rsid w:val="00CA5A3F"/>
    <w:rsid w:val="00CA7592"/>
    <w:rsid w:val="00CB1AE1"/>
    <w:rsid w:val="00CB3867"/>
    <w:rsid w:val="00CB3B93"/>
    <w:rsid w:val="00CB4B60"/>
    <w:rsid w:val="00CB652C"/>
    <w:rsid w:val="00CB6A20"/>
    <w:rsid w:val="00CB76B3"/>
    <w:rsid w:val="00CC01B3"/>
    <w:rsid w:val="00CC039D"/>
    <w:rsid w:val="00CC079A"/>
    <w:rsid w:val="00CC08F0"/>
    <w:rsid w:val="00CC2F3D"/>
    <w:rsid w:val="00CC313E"/>
    <w:rsid w:val="00CC3E0C"/>
    <w:rsid w:val="00CC4D88"/>
    <w:rsid w:val="00CC573E"/>
    <w:rsid w:val="00CC58D3"/>
    <w:rsid w:val="00CC6B0A"/>
    <w:rsid w:val="00CC784D"/>
    <w:rsid w:val="00CD0263"/>
    <w:rsid w:val="00CD223B"/>
    <w:rsid w:val="00CD40E3"/>
    <w:rsid w:val="00CD41D2"/>
    <w:rsid w:val="00CD5958"/>
    <w:rsid w:val="00CD5E45"/>
    <w:rsid w:val="00CD6634"/>
    <w:rsid w:val="00CD7106"/>
    <w:rsid w:val="00CD718F"/>
    <w:rsid w:val="00CE09C1"/>
    <w:rsid w:val="00CE0E63"/>
    <w:rsid w:val="00CE1B35"/>
    <w:rsid w:val="00CE2D47"/>
    <w:rsid w:val="00CE37C2"/>
    <w:rsid w:val="00CE3ABA"/>
    <w:rsid w:val="00CE3B4B"/>
    <w:rsid w:val="00CE498B"/>
    <w:rsid w:val="00CE68B2"/>
    <w:rsid w:val="00CF0183"/>
    <w:rsid w:val="00CF07E3"/>
    <w:rsid w:val="00CF22E6"/>
    <w:rsid w:val="00CF28D8"/>
    <w:rsid w:val="00CF2F4D"/>
    <w:rsid w:val="00CF3580"/>
    <w:rsid w:val="00CF41B1"/>
    <w:rsid w:val="00CF4621"/>
    <w:rsid w:val="00CF4750"/>
    <w:rsid w:val="00CF4B5A"/>
    <w:rsid w:val="00CF5B5B"/>
    <w:rsid w:val="00CF6418"/>
    <w:rsid w:val="00CF6F16"/>
    <w:rsid w:val="00CF79B2"/>
    <w:rsid w:val="00D003BF"/>
    <w:rsid w:val="00D015BD"/>
    <w:rsid w:val="00D0221D"/>
    <w:rsid w:val="00D0337B"/>
    <w:rsid w:val="00D04159"/>
    <w:rsid w:val="00D041C6"/>
    <w:rsid w:val="00D04635"/>
    <w:rsid w:val="00D0680F"/>
    <w:rsid w:val="00D06EB5"/>
    <w:rsid w:val="00D06EF9"/>
    <w:rsid w:val="00D079B2"/>
    <w:rsid w:val="00D1128B"/>
    <w:rsid w:val="00D114E9"/>
    <w:rsid w:val="00D11ADC"/>
    <w:rsid w:val="00D11F39"/>
    <w:rsid w:val="00D1248B"/>
    <w:rsid w:val="00D12B7E"/>
    <w:rsid w:val="00D12C6D"/>
    <w:rsid w:val="00D13E4B"/>
    <w:rsid w:val="00D146F4"/>
    <w:rsid w:val="00D15DB6"/>
    <w:rsid w:val="00D15F81"/>
    <w:rsid w:val="00D1645A"/>
    <w:rsid w:val="00D16CB4"/>
    <w:rsid w:val="00D22271"/>
    <w:rsid w:val="00D22B7B"/>
    <w:rsid w:val="00D23973"/>
    <w:rsid w:val="00D24F43"/>
    <w:rsid w:val="00D24F4F"/>
    <w:rsid w:val="00D25259"/>
    <w:rsid w:val="00D25DD5"/>
    <w:rsid w:val="00D2694E"/>
    <w:rsid w:val="00D30AF3"/>
    <w:rsid w:val="00D315AC"/>
    <w:rsid w:val="00D33C8C"/>
    <w:rsid w:val="00D33D80"/>
    <w:rsid w:val="00D33F25"/>
    <w:rsid w:val="00D33FFE"/>
    <w:rsid w:val="00D34751"/>
    <w:rsid w:val="00D347E2"/>
    <w:rsid w:val="00D3605A"/>
    <w:rsid w:val="00D3642D"/>
    <w:rsid w:val="00D37388"/>
    <w:rsid w:val="00D428B8"/>
    <w:rsid w:val="00D429C6"/>
    <w:rsid w:val="00D437BB"/>
    <w:rsid w:val="00D43803"/>
    <w:rsid w:val="00D45117"/>
    <w:rsid w:val="00D4660D"/>
    <w:rsid w:val="00D47050"/>
    <w:rsid w:val="00D47748"/>
    <w:rsid w:val="00D47B5A"/>
    <w:rsid w:val="00D50C90"/>
    <w:rsid w:val="00D51957"/>
    <w:rsid w:val="00D52769"/>
    <w:rsid w:val="00D54CC3"/>
    <w:rsid w:val="00D55007"/>
    <w:rsid w:val="00D572FB"/>
    <w:rsid w:val="00D578EC"/>
    <w:rsid w:val="00D57EF5"/>
    <w:rsid w:val="00D6041A"/>
    <w:rsid w:val="00D60A1E"/>
    <w:rsid w:val="00D61001"/>
    <w:rsid w:val="00D62215"/>
    <w:rsid w:val="00D62DA9"/>
    <w:rsid w:val="00D62DBD"/>
    <w:rsid w:val="00D633EB"/>
    <w:rsid w:val="00D63E90"/>
    <w:rsid w:val="00D6404B"/>
    <w:rsid w:val="00D6522C"/>
    <w:rsid w:val="00D65423"/>
    <w:rsid w:val="00D657A7"/>
    <w:rsid w:val="00D7008D"/>
    <w:rsid w:val="00D7050C"/>
    <w:rsid w:val="00D70A9A"/>
    <w:rsid w:val="00D72B32"/>
    <w:rsid w:val="00D72B50"/>
    <w:rsid w:val="00D742A8"/>
    <w:rsid w:val="00D74718"/>
    <w:rsid w:val="00D75164"/>
    <w:rsid w:val="00D758AA"/>
    <w:rsid w:val="00D759A6"/>
    <w:rsid w:val="00D81422"/>
    <w:rsid w:val="00D82F18"/>
    <w:rsid w:val="00D82FF7"/>
    <w:rsid w:val="00D8403E"/>
    <w:rsid w:val="00D847FE"/>
    <w:rsid w:val="00D86D22"/>
    <w:rsid w:val="00D87703"/>
    <w:rsid w:val="00D91FDC"/>
    <w:rsid w:val="00D926C3"/>
    <w:rsid w:val="00D93114"/>
    <w:rsid w:val="00D93614"/>
    <w:rsid w:val="00D936DA"/>
    <w:rsid w:val="00D94493"/>
    <w:rsid w:val="00D959B8"/>
    <w:rsid w:val="00D964EA"/>
    <w:rsid w:val="00D966D0"/>
    <w:rsid w:val="00D969AA"/>
    <w:rsid w:val="00D97093"/>
    <w:rsid w:val="00DA0C59"/>
    <w:rsid w:val="00DA0D48"/>
    <w:rsid w:val="00DA0F88"/>
    <w:rsid w:val="00DA1C4A"/>
    <w:rsid w:val="00DA29BF"/>
    <w:rsid w:val="00DA3542"/>
    <w:rsid w:val="00DA3991"/>
    <w:rsid w:val="00DA5E4D"/>
    <w:rsid w:val="00DB178C"/>
    <w:rsid w:val="00DB17A2"/>
    <w:rsid w:val="00DB1BD4"/>
    <w:rsid w:val="00DB2497"/>
    <w:rsid w:val="00DB289F"/>
    <w:rsid w:val="00DB2BE2"/>
    <w:rsid w:val="00DB2DFD"/>
    <w:rsid w:val="00DB30AE"/>
    <w:rsid w:val="00DB3CAC"/>
    <w:rsid w:val="00DB6D13"/>
    <w:rsid w:val="00DB7E6C"/>
    <w:rsid w:val="00DC022B"/>
    <w:rsid w:val="00DC05D3"/>
    <w:rsid w:val="00DC109D"/>
    <w:rsid w:val="00DC1402"/>
    <w:rsid w:val="00DC20D6"/>
    <w:rsid w:val="00DC72C1"/>
    <w:rsid w:val="00DC7C01"/>
    <w:rsid w:val="00DC7D25"/>
    <w:rsid w:val="00DD1BAE"/>
    <w:rsid w:val="00DD1D0F"/>
    <w:rsid w:val="00DD353A"/>
    <w:rsid w:val="00DD3793"/>
    <w:rsid w:val="00DD4580"/>
    <w:rsid w:val="00DD56F8"/>
    <w:rsid w:val="00DD5A29"/>
    <w:rsid w:val="00DD5D9D"/>
    <w:rsid w:val="00DE0C17"/>
    <w:rsid w:val="00DE310D"/>
    <w:rsid w:val="00DE35CB"/>
    <w:rsid w:val="00DE67F3"/>
    <w:rsid w:val="00DF0F2A"/>
    <w:rsid w:val="00DF21E9"/>
    <w:rsid w:val="00DF2E74"/>
    <w:rsid w:val="00DF5401"/>
    <w:rsid w:val="00DF55A9"/>
    <w:rsid w:val="00DF7DD1"/>
    <w:rsid w:val="00E00F14"/>
    <w:rsid w:val="00E03219"/>
    <w:rsid w:val="00E0328E"/>
    <w:rsid w:val="00E037D5"/>
    <w:rsid w:val="00E03BFC"/>
    <w:rsid w:val="00E06386"/>
    <w:rsid w:val="00E07363"/>
    <w:rsid w:val="00E07B63"/>
    <w:rsid w:val="00E07C35"/>
    <w:rsid w:val="00E105AA"/>
    <w:rsid w:val="00E1130B"/>
    <w:rsid w:val="00E12F0E"/>
    <w:rsid w:val="00E175F9"/>
    <w:rsid w:val="00E2074F"/>
    <w:rsid w:val="00E2097B"/>
    <w:rsid w:val="00E212CF"/>
    <w:rsid w:val="00E2190D"/>
    <w:rsid w:val="00E21D13"/>
    <w:rsid w:val="00E22768"/>
    <w:rsid w:val="00E24EB4"/>
    <w:rsid w:val="00E2539D"/>
    <w:rsid w:val="00E25831"/>
    <w:rsid w:val="00E2692D"/>
    <w:rsid w:val="00E277D2"/>
    <w:rsid w:val="00E2791A"/>
    <w:rsid w:val="00E27F6E"/>
    <w:rsid w:val="00E30334"/>
    <w:rsid w:val="00E305C5"/>
    <w:rsid w:val="00E30989"/>
    <w:rsid w:val="00E30AF1"/>
    <w:rsid w:val="00E31BD8"/>
    <w:rsid w:val="00E320ED"/>
    <w:rsid w:val="00E33AFB"/>
    <w:rsid w:val="00E33BEB"/>
    <w:rsid w:val="00E34218"/>
    <w:rsid w:val="00E3461E"/>
    <w:rsid w:val="00E349BA"/>
    <w:rsid w:val="00E35A7E"/>
    <w:rsid w:val="00E40254"/>
    <w:rsid w:val="00E40352"/>
    <w:rsid w:val="00E41341"/>
    <w:rsid w:val="00E41BED"/>
    <w:rsid w:val="00E41EA8"/>
    <w:rsid w:val="00E43C72"/>
    <w:rsid w:val="00E44C54"/>
    <w:rsid w:val="00E45376"/>
    <w:rsid w:val="00E46282"/>
    <w:rsid w:val="00E46C83"/>
    <w:rsid w:val="00E47DB4"/>
    <w:rsid w:val="00E51C44"/>
    <w:rsid w:val="00E5216E"/>
    <w:rsid w:val="00E52B85"/>
    <w:rsid w:val="00E532A5"/>
    <w:rsid w:val="00E53B13"/>
    <w:rsid w:val="00E5485A"/>
    <w:rsid w:val="00E54930"/>
    <w:rsid w:val="00E56087"/>
    <w:rsid w:val="00E564D6"/>
    <w:rsid w:val="00E566D0"/>
    <w:rsid w:val="00E56D3B"/>
    <w:rsid w:val="00E57423"/>
    <w:rsid w:val="00E576CE"/>
    <w:rsid w:val="00E57B28"/>
    <w:rsid w:val="00E636DF"/>
    <w:rsid w:val="00E64BA6"/>
    <w:rsid w:val="00E64BD8"/>
    <w:rsid w:val="00E64D46"/>
    <w:rsid w:val="00E65CE3"/>
    <w:rsid w:val="00E66230"/>
    <w:rsid w:val="00E66E95"/>
    <w:rsid w:val="00E71435"/>
    <w:rsid w:val="00E728CC"/>
    <w:rsid w:val="00E73AF2"/>
    <w:rsid w:val="00E740D5"/>
    <w:rsid w:val="00E749A7"/>
    <w:rsid w:val="00E74B95"/>
    <w:rsid w:val="00E75468"/>
    <w:rsid w:val="00E75F38"/>
    <w:rsid w:val="00E77510"/>
    <w:rsid w:val="00E775B6"/>
    <w:rsid w:val="00E80215"/>
    <w:rsid w:val="00E80271"/>
    <w:rsid w:val="00E81128"/>
    <w:rsid w:val="00E8155B"/>
    <w:rsid w:val="00E81C9A"/>
    <w:rsid w:val="00E81FF5"/>
    <w:rsid w:val="00E82344"/>
    <w:rsid w:val="00E845AC"/>
    <w:rsid w:val="00E84C55"/>
    <w:rsid w:val="00E84C82"/>
    <w:rsid w:val="00E84D64"/>
    <w:rsid w:val="00E8534B"/>
    <w:rsid w:val="00E86969"/>
    <w:rsid w:val="00E87408"/>
    <w:rsid w:val="00E90387"/>
    <w:rsid w:val="00E9079F"/>
    <w:rsid w:val="00E914C4"/>
    <w:rsid w:val="00E92259"/>
    <w:rsid w:val="00E926E7"/>
    <w:rsid w:val="00E934F5"/>
    <w:rsid w:val="00E93FCD"/>
    <w:rsid w:val="00E94192"/>
    <w:rsid w:val="00E94B0B"/>
    <w:rsid w:val="00E95472"/>
    <w:rsid w:val="00E95679"/>
    <w:rsid w:val="00E95E67"/>
    <w:rsid w:val="00E9682B"/>
    <w:rsid w:val="00E96961"/>
    <w:rsid w:val="00E96D2A"/>
    <w:rsid w:val="00E97330"/>
    <w:rsid w:val="00EA06C4"/>
    <w:rsid w:val="00EA3055"/>
    <w:rsid w:val="00EA399B"/>
    <w:rsid w:val="00EA4F7F"/>
    <w:rsid w:val="00EA5228"/>
    <w:rsid w:val="00EA5B74"/>
    <w:rsid w:val="00EA6F2E"/>
    <w:rsid w:val="00EA72EC"/>
    <w:rsid w:val="00EA755B"/>
    <w:rsid w:val="00EA7FB4"/>
    <w:rsid w:val="00EB0212"/>
    <w:rsid w:val="00EB0849"/>
    <w:rsid w:val="00EB11CB"/>
    <w:rsid w:val="00EB275A"/>
    <w:rsid w:val="00EB307C"/>
    <w:rsid w:val="00EB36F5"/>
    <w:rsid w:val="00EB4BF8"/>
    <w:rsid w:val="00EB53EC"/>
    <w:rsid w:val="00EB58E4"/>
    <w:rsid w:val="00EB6A76"/>
    <w:rsid w:val="00EB786A"/>
    <w:rsid w:val="00EC0280"/>
    <w:rsid w:val="00EC1578"/>
    <w:rsid w:val="00EC1C72"/>
    <w:rsid w:val="00EC1D19"/>
    <w:rsid w:val="00EC1F0F"/>
    <w:rsid w:val="00EC3CC9"/>
    <w:rsid w:val="00EC41C7"/>
    <w:rsid w:val="00EC4656"/>
    <w:rsid w:val="00EC52C3"/>
    <w:rsid w:val="00EC680A"/>
    <w:rsid w:val="00EC6F61"/>
    <w:rsid w:val="00EC792B"/>
    <w:rsid w:val="00EC7E78"/>
    <w:rsid w:val="00ED40B4"/>
    <w:rsid w:val="00ED65D9"/>
    <w:rsid w:val="00ED6C85"/>
    <w:rsid w:val="00ED7BE2"/>
    <w:rsid w:val="00EE143B"/>
    <w:rsid w:val="00EE1C23"/>
    <w:rsid w:val="00EE2863"/>
    <w:rsid w:val="00EE2BED"/>
    <w:rsid w:val="00EE374B"/>
    <w:rsid w:val="00EE4F44"/>
    <w:rsid w:val="00EE5B9F"/>
    <w:rsid w:val="00EE5F09"/>
    <w:rsid w:val="00EF1976"/>
    <w:rsid w:val="00EF2EA0"/>
    <w:rsid w:val="00EF3BFA"/>
    <w:rsid w:val="00EF4B87"/>
    <w:rsid w:val="00EF4C26"/>
    <w:rsid w:val="00EF6CB2"/>
    <w:rsid w:val="00EF6EA9"/>
    <w:rsid w:val="00EF742B"/>
    <w:rsid w:val="00EF7FC8"/>
    <w:rsid w:val="00F00377"/>
    <w:rsid w:val="00F016A4"/>
    <w:rsid w:val="00F01A25"/>
    <w:rsid w:val="00F020BD"/>
    <w:rsid w:val="00F0586B"/>
    <w:rsid w:val="00F0650C"/>
    <w:rsid w:val="00F06812"/>
    <w:rsid w:val="00F06E59"/>
    <w:rsid w:val="00F07859"/>
    <w:rsid w:val="00F07948"/>
    <w:rsid w:val="00F10BA4"/>
    <w:rsid w:val="00F11517"/>
    <w:rsid w:val="00F11BB5"/>
    <w:rsid w:val="00F1207D"/>
    <w:rsid w:val="00F12296"/>
    <w:rsid w:val="00F133F4"/>
    <w:rsid w:val="00F1417B"/>
    <w:rsid w:val="00F15A6B"/>
    <w:rsid w:val="00F15D5F"/>
    <w:rsid w:val="00F226A9"/>
    <w:rsid w:val="00F23284"/>
    <w:rsid w:val="00F239AF"/>
    <w:rsid w:val="00F24445"/>
    <w:rsid w:val="00F252E0"/>
    <w:rsid w:val="00F26593"/>
    <w:rsid w:val="00F26CB8"/>
    <w:rsid w:val="00F27022"/>
    <w:rsid w:val="00F27087"/>
    <w:rsid w:val="00F31AEA"/>
    <w:rsid w:val="00F32384"/>
    <w:rsid w:val="00F3388C"/>
    <w:rsid w:val="00F33E6C"/>
    <w:rsid w:val="00F34B99"/>
    <w:rsid w:val="00F357AE"/>
    <w:rsid w:val="00F3590E"/>
    <w:rsid w:val="00F363B9"/>
    <w:rsid w:val="00F37EF6"/>
    <w:rsid w:val="00F4205A"/>
    <w:rsid w:val="00F451DC"/>
    <w:rsid w:val="00F45A01"/>
    <w:rsid w:val="00F4680E"/>
    <w:rsid w:val="00F4795D"/>
    <w:rsid w:val="00F47F8C"/>
    <w:rsid w:val="00F50A6F"/>
    <w:rsid w:val="00F50C8C"/>
    <w:rsid w:val="00F51884"/>
    <w:rsid w:val="00F51CB0"/>
    <w:rsid w:val="00F52DAB"/>
    <w:rsid w:val="00F5305B"/>
    <w:rsid w:val="00F5311B"/>
    <w:rsid w:val="00F543F0"/>
    <w:rsid w:val="00F56877"/>
    <w:rsid w:val="00F56933"/>
    <w:rsid w:val="00F56A92"/>
    <w:rsid w:val="00F6077C"/>
    <w:rsid w:val="00F639D8"/>
    <w:rsid w:val="00F63AE8"/>
    <w:rsid w:val="00F64A60"/>
    <w:rsid w:val="00F73CFF"/>
    <w:rsid w:val="00F745A7"/>
    <w:rsid w:val="00F75A92"/>
    <w:rsid w:val="00F75C22"/>
    <w:rsid w:val="00F801C4"/>
    <w:rsid w:val="00F81D29"/>
    <w:rsid w:val="00F83B41"/>
    <w:rsid w:val="00F83C2F"/>
    <w:rsid w:val="00F85059"/>
    <w:rsid w:val="00F85CD2"/>
    <w:rsid w:val="00F9009B"/>
    <w:rsid w:val="00F9128C"/>
    <w:rsid w:val="00F91959"/>
    <w:rsid w:val="00F919C7"/>
    <w:rsid w:val="00F91C4D"/>
    <w:rsid w:val="00F92FD9"/>
    <w:rsid w:val="00F93197"/>
    <w:rsid w:val="00F94C42"/>
    <w:rsid w:val="00FA07B1"/>
    <w:rsid w:val="00FA0EB7"/>
    <w:rsid w:val="00FA153D"/>
    <w:rsid w:val="00FA2519"/>
    <w:rsid w:val="00FA332E"/>
    <w:rsid w:val="00FA6684"/>
    <w:rsid w:val="00FA674C"/>
    <w:rsid w:val="00FA71DF"/>
    <w:rsid w:val="00FA731E"/>
    <w:rsid w:val="00FB17CF"/>
    <w:rsid w:val="00FB2B38"/>
    <w:rsid w:val="00FB4767"/>
    <w:rsid w:val="00FB4B11"/>
    <w:rsid w:val="00FB4D0D"/>
    <w:rsid w:val="00FB4F90"/>
    <w:rsid w:val="00FB506E"/>
    <w:rsid w:val="00FB510F"/>
    <w:rsid w:val="00FB7459"/>
    <w:rsid w:val="00FC29A0"/>
    <w:rsid w:val="00FC368D"/>
    <w:rsid w:val="00FC44EA"/>
    <w:rsid w:val="00FC4650"/>
    <w:rsid w:val="00FC4A1A"/>
    <w:rsid w:val="00FC4D06"/>
    <w:rsid w:val="00FC6358"/>
    <w:rsid w:val="00FC7C42"/>
    <w:rsid w:val="00FD0BCC"/>
    <w:rsid w:val="00FD320D"/>
    <w:rsid w:val="00FD3663"/>
    <w:rsid w:val="00FD50B4"/>
    <w:rsid w:val="00FE008F"/>
    <w:rsid w:val="00FE0200"/>
    <w:rsid w:val="00FE03D3"/>
    <w:rsid w:val="00FE0803"/>
    <w:rsid w:val="00FE2227"/>
    <w:rsid w:val="00FE23DE"/>
    <w:rsid w:val="00FE44C8"/>
    <w:rsid w:val="00FE5059"/>
    <w:rsid w:val="00FE5B14"/>
    <w:rsid w:val="00FE5F52"/>
    <w:rsid w:val="00FE73D2"/>
    <w:rsid w:val="00FF012A"/>
    <w:rsid w:val="00FF1919"/>
    <w:rsid w:val="00FF3161"/>
    <w:rsid w:val="00FF6C5D"/>
    <w:rsid w:val="00FF6F56"/>
    <w:rsid w:val="01BA48D3"/>
    <w:rsid w:val="02D5633A"/>
    <w:rsid w:val="039B4026"/>
    <w:rsid w:val="0459387A"/>
    <w:rsid w:val="04777A9F"/>
    <w:rsid w:val="05636936"/>
    <w:rsid w:val="06035D6B"/>
    <w:rsid w:val="078B029E"/>
    <w:rsid w:val="082C6D6C"/>
    <w:rsid w:val="083765BA"/>
    <w:rsid w:val="0A072070"/>
    <w:rsid w:val="0A356A3B"/>
    <w:rsid w:val="0B874452"/>
    <w:rsid w:val="0BA13550"/>
    <w:rsid w:val="0FE90615"/>
    <w:rsid w:val="122B63E6"/>
    <w:rsid w:val="12842942"/>
    <w:rsid w:val="128F19DC"/>
    <w:rsid w:val="12CF5E2D"/>
    <w:rsid w:val="1307042D"/>
    <w:rsid w:val="174A36F1"/>
    <w:rsid w:val="176427D1"/>
    <w:rsid w:val="18714DFB"/>
    <w:rsid w:val="18AA4273"/>
    <w:rsid w:val="1A1D7FA5"/>
    <w:rsid w:val="1AD3495B"/>
    <w:rsid w:val="1C8D06FC"/>
    <w:rsid w:val="1ED97EA3"/>
    <w:rsid w:val="1F257BA5"/>
    <w:rsid w:val="1FFE373F"/>
    <w:rsid w:val="204A58FA"/>
    <w:rsid w:val="204D617C"/>
    <w:rsid w:val="21A60804"/>
    <w:rsid w:val="21BE2AFC"/>
    <w:rsid w:val="21F25861"/>
    <w:rsid w:val="22A5314D"/>
    <w:rsid w:val="22B631FB"/>
    <w:rsid w:val="230D4074"/>
    <w:rsid w:val="247B69CC"/>
    <w:rsid w:val="248621CC"/>
    <w:rsid w:val="258A76A8"/>
    <w:rsid w:val="26BF6EF7"/>
    <w:rsid w:val="27843C5A"/>
    <w:rsid w:val="29030406"/>
    <w:rsid w:val="29657FEC"/>
    <w:rsid w:val="2A6C54FB"/>
    <w:rsid w:val="2AB25BF1"/>
    <w:rsid w:val="2C394DE5"/>
    <w:rsid w:val="2CD23708"/>
    <w:rsid w:val="2D56422C"/>
    <w:rsid w:val="2DBE05D8"/>
    <w:rsid w:val="2DC6003D"/>
    <w:rsid w:val="2E5210D7"/>
    <w:rsid w:val="2E710442"/>
    <w:rsid w:val="2F1B6A38"/>
    <w:rsid w:val="2F5332B4"/>
    <w:rsid w:val="30332002"/>
    <w:rsid w:val="31A543EB"/>
    <w:rsid w:val="335F7FBD"/>
    <w:rsid w:val="339C137F"/>
    <w:rsid w:val="33D6388A"/>
    <w:rsid w:val="349D0128"/>
    <w:rsid w:val="35F07334"/>
    <w:rsid w:val="366D64B0"/>
    <w:rsid w:val="36B03BB5"/>
    <w:rsid w:val="37020E7A"/>
    <w:rsid w:val="37B82DFB"/>
    <w:rsid w:val="384600B8"/>
    <w:rsid w:val="392D7F45"/>
    <w:rsid w:val="39573E5A"/>
    <w:rsid w:val="39C20125"/>
    <w:rsid w:val="3B3C45A2"/>
    <w:rsid w:val="3D712A42"/>
    <w:rsid w:val="3D8034CE"/>
    <w:rsid w:val="3D957E29"/>
    <w:rsid w:val="3E215841"/>
    <w:rsid w:val="3F6F1A02"/>
    <w:rsid w:val="423055BA"/>
    <w:rsid w:val="4251246F"/>
    <w:rsid w:val="427B4F25"/>
    <w:rsid w:val="427C6E81"/>
    <w:rsid w:val="428239AC"/>
    <w:rsid w:val="4318187E"/>
    <w:rsid w:val="43A33889"/>
    <w:rsid w:val="43B07BB7"/>
    <w:rsid w:val="43B1403A"/>
    <w:rsid w:val="44A35ED2"/>
    <w:rsid w:val="45540938"/>
    <w:rsid w:val="458B586D"/>
    <w:rsid w:val="45A865F7"/>
    <w:rsid w:val="46C64260"/>
    <w:rsid w:val="47C26DDA"/>
    <w:rsid w:val="498C46C4"/>
    <w:rsid w:val="499D7955"/>
    <w:rsid w:val="4A1676E2"/>
    <w:rsid w:val="4A540E9F"/>
    <w:rsid w:val="4A5D4BCE"/>
    <w:rsid w:val="4BB84107"/>
    <w:rsid w:val="4CD54E6B"/>
    <w:rsid w:val="4D62603F"/>
    <w:rsid w:val="4D675CB5"/>
    <w:rsid w:val="4DB9434F"/>
    <w:rsid w:val="4F750142"/>
    <w:rsid w:val="4FC7316B"/>
    <w:rsid w:val="50C15606"/>
    <w:rsid w:val="51507630"/>
    <w:rsid w:val="52E75994"/>
    <w:rsid w:val="52FD79C1"/>
    <w:rsid w:val="53026CBF"/>
    <w:rsid w:val="53AB39E9"/>
    <w:rsid w:val="541126D7"/>
    <w:rsid w:val="54C14B53"/>
    <w:rsid w:val="55107064"/>
    <w:rsid w:val="56001BD9"/>
    <w:rsid w:val="56452A1D"/>
    <w:rsid w:val="572A7B5B"/>
    <w:rsid w:val="5743757B"/>
    <w:rsid w:val="579F7315"/>
    <w:rsid w:val="582D1659"/>
    <w:rsid w:val="5887003F"/>
    <w:rsid w:val="593E2A35"/>
    <w:rsid w:val="5AD17110"/>
    <w:rsid w:val="5BC90E94"/>
    <w:rsid w:val="5BF70489"/>
    <w:rsid w:val="5C5361F1"/>
    <w:rsid w:val="5CA24B8B"/>
    <w:rsid w:val="5D9558DF"/>
    <w:rsid w:val="5DE42B11"/>
    <w:rsid w:val="5E567D8F"/>
    <w:rsid w:val="5ECF526F"/>
    <w:rsid w:val="5EFE614F"/>
    <w:rsid w:val="606512F8"/>
    <w:rsid w:val="61721EEB"/>
    <w:rsid w:val="63431796"/>
    <w:rsid w:val="637F5550"/>
    <w:rsid w:val="6387779C"/>
    <w:rsid w:val="63CE08AC"/>
    <w:rsid w:val="65396D8E"/>
    <w:rsid w:val="65792FF7"/>
    <w:rsid w:val="657C1EB6"/>
    <w:rsid w:val="657E248D"/>
    <w:rsid w:val="668F6144"/>
    <w:rsid w:val="66C130BC"/>
    <w:rsid w:val="672600DA"/>
    <w:rsid w:val="67720587"/>
    <w:rsid w:val="682346EC"/>
    <w:rsid w:val="6A4175F2"/>
    <w:rsid w:val="6A8432B3"/>
    <w:rsid w:val="6A9E1BDF"/>
    <w:rsid w:val="6AE2114E"/>
    <w:rsid w:val="6B9F5545"/>
    <w:rsid w:val="6BD74483"/>
    <w:rsid w:val="6CD35A96"/>
    <w:rsid w:val="6CDD5D9B"/>
    <w:rsid w:val="7149660B"/>
    <w:rsid w:val="71B23540"/>
    <w:rsid w:val="71D77EFF"/>
    <w:rsid w:val="722263F6"/>
    <w:rsid w:val="73922ADE"/>
    <w:rsid w:val="74010223"/>
    <w:rsid w:val="75753847"/>
    <w:rsid w:val="76A84D70"/>
    <w:rsid w:val="76BB05FB"/>
    <w:rsid w:val="7743220F"/>
    <w:rsid w:val="7765302C"/>
    <w:rsid w:val="776D4EAC"/>
    <w:rsid w:val="78282FC8"/>
    <w:rsid w:val="783924B0"/>
    <w:rsid w:val="78E6756A"/>
    <w:rsid w:val="79133ACD"/>
    <w:rsid w:val="793E3D20"/>
    <w:rsid w:val="7A786E98"/>
    <w:rsid w:val="7B92439F"/>
    <w:rsid w:val="7BB40DDE"/>
    <w:rsid w:val="7C2F52ED"/>
    <w:rsid w:val="7CC63FA0"/>
    <w:rsid w:val="7CE82094"/>
    <w:rsid w:val="7D1E794A"/>
    <w:rsid w:val="7D2C6B70"/>
    <w:rsid w:val="7F472247"/>
    <w:rsid w:val="7FCC3B30"/>
    <w:rsid w:val="7FE54A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1"/>
    <w:qFormat/>
    <w:uiPriority w:val="0"/>
    <w:pPr>
      <w:keepNext/>
      <w:keepLines/>
      <w:spacing w:before="340" w:after="330" w:line="578" w:lineRule="auto"/>
      <w:outlineLvl w:val="0"/>
    </w:pPr>
    <w:rPr>
      <w:b/>
      <w:bCs/>
      <w:kern w:val="44"/>
      <w:sz w:val="44"/>
      <w:szCs w:val="44"/>
    </w:rPr>
  </w:style>
  <w:style w:type="paragraph" w:styleId="3">
    <w:name w:val="heading 6"/>
    <w:basedOn w:val="1"/>
    <w:next w:val="1"/>
    <w:link w:val="144"/>
    <w:semiHidden/>
    <w:unhideWhenUsed/>
    <w:qFormat/>
    <w:uiPriority w:val="0"/>
    <w:pPr>
      <w:keepNext/>
      <w:keepLines/>
      <w:spacing w:before="240" w:after="64" w:line="320" w:lineRule="auto"/>
      <w:outlineLvl w:val="5"/>
    </w:pPr>
    <w:rPr>
      <w:rFonts w:asciiTheme="majorHAnsi" w:hAnsiTheme="majorHAnsi" w:eastAsiaTheme="majorEastAsia" w:cstheme="majorBidi"/>
      <w:b/>
      <w:bCs/>
      <w:sz w:val="24"/>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4">
    <w:name w:val="toc 7"/>
    <w:basedOn w:val="1"/>
    <w:next w:val="1"/>
    <w:semiHidden/>
    <w:qFormat/>
    <w:uiPriority w:val="0"/>
    <w:pPr>
      <w:tabs>
        <w:tab w:val="right" w:leader="dot" w:pos="9241"/>
      </w:tabs>
      <w:ind w:firstLine="505" w:firstLineChars="500"/>
      <w:jc w:val="left"/>
    </w:pPr>
    <w:rPr>
      <w:rFonts w:ascii="宋体"/>
      <w:szCs w:val="21"/>
    </w:rPr>
  </w:style>
  <w:style w:type="paragraph" w:styleId="5">
    <w:name w:val="index 8"/>
    <w:basedOn w:val="1"/>
    <w:next w:val="1"/>
    <w:qFormat/>
    <w:uiPriority w:val="0"/>
    <w:pPr>
      <w:ind w:left="1680" w:hanging="210"/>
      <w:jc w:val="left"/>
    </w:pPr>
    <w:rPr>
      <w:rFonts w:ascii="Calibri" w:hAnsi="Calibri"/>
      <w:sz w:val="20"/>
      <w:szCs w:val="20"/>
    </w:rPr>
  </w:style>
  <w:style w:type="paragraph" w:styleId="6">
    <w:name w:val="caption"/>
    <w:basedOn w:val="1"/>
    <w:next w:val="1"/>
    <w:qFormat/>
    <w:uiPriority w:val="0"/>
    <w:pPr>
      <w:spacing w:before="152" w:after="160"/>
    </w:pPr>
    <w:rPr>
      <w:rFonts w:ascii="Arial" w:hAnsi="Arial" w:eastAsia="黑体" w:cs="Arial"/>
      <w:sz w:val="20"/>
      <w:szCs w:val="20"/>
    </w:rPr>
  </w:style>
  <w:style w:type="paragraph" w:styleId="7">
    <w:name w:val="index 5"/>
    <w:basedOn w:val="1"/>
    <w:next w:val="1"/>
    <w:qFormat/>
    <w:uiPriority w:val="0"/>
    <w:pPr>
      <w:ind w:left="1050" w:hanging="210"/>
      <w:jc w:val="left"/>
    </w:pPr>
    <w:rPr>
      <w:rFonts w:ascii="Calibri" w:hAnsi="Calibri"/>
      <w:sz w:val="20"/>
      <w:szCs w:val="20"/>
    </w:rPr>
  </w:style>
  <w:style w:type="paragraph" w:styleId="8">
    <w:name w:val="Document Map"/>
    <w:basedOn w:val="1"/>
    <w:semiHidden/>
    <w:qFormat/>
    <w:uiPriority w:val="0"/>
    <w:pPr>
      <w:shd w:val="clear" w:color="auto" w:fill="000080"/>
    </w:pPr>
  </w:style>
  <w:style w:type="paragraph" w:styleId="9">
    <w:name w:val="index 6"/>
    <w:basedOn w:val="1"/>
    <w:next w:val="1"/>
    <w:qFormat/>
    <w:uiPriority w:val="0"/>
    <w:pPr>
      <w:ind w:left="1260" w:hanging="210"/>
      <w:jc w:val="left"/>
    </w:pPr>
    <w:rPr>
      <w:rFonts w:ascii="Calibri" w:hAnsi="Calibri"/>
      <w:sz w:val="20"/>
      <w:szCs w:val="20"/>
    </w:rPr>
  </w:style>
  <w:style w:type="paragraph" w:styleId="10">
    <w:name w:val="index 4"/>
    <w:basedOn w:val="1"/>
    <w:next w:val="1"/>
    <w:qFormat/>
    <w:uiPriority w:val="0"/>
    <w:pPr>
      <w:ind w:left="840" w:hanging="210"/>
      <w:jc w:val="left"/>
    </w:pPr>
    <w:rPr>
      <w:rFonts w:ascii="Calibri" w:hAnsi="Calibri"/>
      <w:sz w:val="20"/>
      <w:szCs w:val="20"/>
    </w:rPr>
  </w:style>
  <w:style w:type="paragraph" w:styleId="11">
    <w:name w:val="toc 5"/>
    <w:basedOn w:val="1"/>
    <w:next w:val="1"/>
    <w:semiHidden/>
    <w:qFormat/>
    <w:uiPriority w:val="0"/>
    <w:pPr>
      <w:tabs>
        <w:tab w:val="right" w:leader="dot" w:pos="9241"/>
      </w:tabs>
      <w:ind w:firstLine="300" w:firstLineChars="300"/>
      <w:jc w:val="left"/>
    </w:pPr>
    <w:rPr>
      <w:rFonts w:ascii="宋体"/>
      <w:szCs w:val="21"/>
    </w:rPr>
  </w:style>
  <w:style w:type="paragraph" w:styleId="12">
    <w:name w:val="toc 3"/>
    <w:basedOn w:val="1"/>
    <w:next w:val="1"/>
    <w:qFormat/>
    <w:uiPriority w:val="39"/>
    <w:pPr>
      <w:tabs>
        <w:tab w:val="right" w:leader="dot" w:pos="9241"/>
      </w:tabs>
      <w:ind w:firstLine="102" w:firstLineChars="100"/>
      <w:jc w:val="left"/>
    </w:pPr>
    <w:rPr>
      <w:rFonts w:ascii="宋体"/>
      <w:szCs w:val="21"/>
    </w:rPr>
  </w:style>
  <w:style w:type="paragraph" w:styleId="13">
    <w:name w:val="toc 8"/>
    <w:basedOn w:val="1"/>
    <w:next w:val="1"/>
    <w:semiHidden/>
    <w:qFormat/>
    <w:uiPriority w:val="0"/>
    <w:pPr>
      <w:tabs>
        <w:tab w:val="right" w:leader="dot" w:pos="9241"/>
      </w:tabs>
      <w:ind w:firstLine="607" w:firstLineChars="600"/>
      <w:jc w:val="left"/>
    </w:pPr>
    <w:rPr>
      <w:rFonts w:ascii="宋体"/>
      <w:szCs w:val="21"/>
    </w:rPr>
  </w:style>
  <w:style w:type="paragraph" w:styleId="14">
    <w:name w:val="index 3"/>
    <w:basedOn w:val="1"/>
    <w:next w:val="1"/>
    <w:qFormat/>
    <w:uiPriority w:val="0"/>
    <w:pPr>
      <w:ind w:left="630" w:hanging="210"/>
      <w:jc w:val="left"/>
    </w:pPr>
    <w:rPr>
      <w:rFonts w:ascii="Calibri" w:hAnsi="Calibri"/>
      <w:sz w:val="20"/>
      <w:szCs w:val="20"/>
    </w:rPr>
  </w:style>
  <w:style w:type="paragraph" w:styleId="15">
    <w:name w:val="Body Text Indent 2"/>
    <w:basedOn w:val="1"/>
    <w:semiHidden/>
    <w:qFormat/>
    <w:uiPriority w:val="0"/>
    <w:pPr>
      <w:ind w:firstLine="420" w:firstLineChars="200"/>
    </w:pPr>
  </w:style>
  <w:style w:type="paragraph" w:styleId="16">
    <w:name w:val="endnote text"/>
    <w:basedOn w:val="1"/>
    <w:semiHidden/>
    <w:qFormat/>
    <w:uiPriority w:val="0"/>
    <w:pPr>
      <w:snapToGrid w:val="0"/>
      <w:jc w:val="left"/>
    </w:pPr>
  </w:style>
  <w:style w:type="paragraph" w:styleId="17">
    <w:name w:val="Balloon Text"/>
    <w:basedOn w:val="1"/>
    <w:link w:val="138"/>
    <w:qFormat/>
    <w:uiPriority w:val="99"/>
    <w:rPr>
      <w:rFonts w:ascii="Calibri" w:hAnsi="Calibri"/>
      <w:sz w:val="18"/>
      <w:szCs w:val="18"/>
    </w:rPr>
  </w:style>
  <w:style w:type="paragraph" w:styleId="18">
    <w:name w:val="footer"/>
    <w:basedOn w:val="1"/>
    <w:qFormat/>
    <w:uiPriority w:val="0"/>
    <w:pPr>
      <w:snapToGrid w:val="0"/>
      <w:ind w:right="210" w:rightChars="100"/>
      <w:jc w:val="right"/>
    </w:pPr>
    <w:rPr>
      <w:sz w:val="18"/>
      <w:szCs w:val="18"/>
    </w:rPr>
  </w:style>
  <w:style w:type="paragraph" w:styleId="19">
    <w:name w:val="header"/>
    <w:basedOn w:val="1"/>
    <w:qFormat/>
    <w:uiPriority w:val="0"/>
    <w:pPr>
      <w:snapToGrid w:val="0"/>
      <w:jc w:val="left"/>
    </w:pPr>
    <w:rPr>
      <w:sz w:val="18"/>
      <w:szCs w:val="18"/>
    </w:rPr>
  </w:style>
  <w:style w:type="paragraph" w:styleId="20">
    <w:name w:val="toc 1"/>
    <w:basedOn w:val="1"/>
    <w:next w:val="1"/>
    <w:qFormat/>
    <w:uiPriority w:val="39"/>
    <w:pPr>
      <w:tabs>
        <w:tab w:val="right" w:leader="dot" w:pos="9241"/>
      </w:tabs>
      <w:spacing w:beforeLines="25" w:afterLines="25"/>
      <w:jc w:val="left"/>
    </w:pPr>
    <w:rPr>
      <w:rFonts w:ascii="宋体"/>
      <w:szCs w:val="21"/>
    </w:rPr>
  </w:style>
  <w:style w:type="paragraph" w:styleId="21">
    <w:name w:val="toc 4"/>
    <w:basedOn w:val="1"/>
    <w:next w:val="1"/>
    <w:semiHidden/>
    <w:qFormat/>
    <w:uiPriority w:val="0"/>
    <w:pPr>
      <w:tabs>
        <w:tab w:val="right" w:leader="dot" w:pos="9241"/>
      </w:tabs>
      <w:ind w:firstLine="198" w:firstLineChars="200"/>
      <w:jc w:val="left"/>
    </w:pPr>
    <w:rPr>
      <w:rFonts w:ascii="宋体"/>
      <w:szCs w:val="21"/>
    </w:rPr>
  </w:style>
  <w:style w:type="paragraph" w:styleId="22">
    <w:name w:val="index heading"/>
    <w:basedOn w:val="1"/>
    <w:next w:val="23"/>
    <w:qFormat/>
    <w:uiPriority w:val="0"/>
    <w:pPr>
      <w:spacing w:before="120" w:after="120"/>
      <w:jc w:val="center"/>
    </w:pPr>
    <w:rPr>
      <w:rFonts w:ascii="Calibri" w:hAnsi="Calibri"/>
      <w:b/>
      <w:bCs/>
      <w:iCs/>
      <w:szCs w:val="20"/>
    </w:rPr>
  </w:style>
  <w:style w:type="paragraph" w:styleId="23">
    <w:name w:val="index 1"/>
    <w:basedOn w:val="1"/>
    <w:next w:val="24"/>
    <w:qFormat/>
    <w:uiPriority w:val="0"/>
    <w:pPr>
      <w:tabs>
        <w:tab w:val="right" w:leader="dot" w:pos="9299"/>
      </w:tabs>
      <w:jc w:val="left"/>
    </w:pPr>
    <w:rPr>
      <w:rFonts w:ascii="宋体"/>
      <w:szCs w:val="21"/>
    </w:rPr>
  </w:style>
  <w:style w:type="paragraph" w:customStyle="1" w:styleId="24">
    <w:name w:val="段"/>
    <w:link w:val="41"/>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25">
    <w:name w:val="footnote text"/>
    <w:basedOn w:val="1"/>
    <w:qFormat/>
    <w:uiPriority w:val="0"/>
    <w:pPr>
      <w:numPr>
        <w:ilvl w:val="0"/>
        <w:numId w:val="1"/>
      </w:numPr>
      <w:snapToGrid w:val="0"/>
      <w:jc w:val="left"/>
    </w:pPr>
    <w:rPr>
      <w:rFonts w:ascii="宋体"/>
      <w:sz w:val="18"/>
      <w:szCs w:val="18"/>
    </w:rPr>
  </w:style>
  <w:style w:type="paragraph" w:styleId="26">
    <w:name w:val="toc 6"/>
    <w:basedOn w:val="1"/>
    <w:next w:val="1"/>
    <w:semiHidden/>
    <w:qFormat/>
    <w:uiPriority w:val="0"/>
    <w:pPr>
      <w:tabs>
        <w:tab w:val="right" w:leader="dot" w:pos="9241"/>
      </w:tabs>
      <w:ind w:firstLine="403" w:firstLineChars="400"/>
      <w:jc w:val="left"/>
    </w:pPr>
    <w:rPr>
      <w:rFonts w:ascii="宋体"/>
      <w:szCs w:val="21"/>
    </w:rPr>
  </w:style>
  <w:style w:type="paragraph" w:styleId="27">
    <w:name w:val="index 7"/>
    <w:basedOn w:val="1"/>
    <w:next w:val="1"/>
    <w:qFormat/>
    <w:uiPriority w:val="0"/>
    <w:pPr>
      <w:ind w:left="1470" w:hanging="210"/>
      <w:jc w:val="left"/>
    </w:pPr>
    <w:rPr>
      <w:rFonts w:ascii="Calibri" w:hAnsi="Calibri"/>
      <w:sz w:val="20"/>
      <w:szCs w:val="20"/>
    </w:rPr>
  </w:style>
  <w:style w:type="paragraph" w:styleId="28">
    <w:name w:val="index 9"/>
    <w:basedOn w:val="1"/>
    <w:next w:val="1"/>
    <w:qFormat/>
    <w:uiPriority w:val="0"/>
    <w:pPr>
      <w:ind w:left="1890" w:hanging="210"/>
      <w:jc w:val="left"/>
    </w:pPr>
    <w:rPr>
      <w:rFonts w:ascii="Calibri" w:hAnsi="Calibri"/>
      <w:sz w:val="20"/>
      <w:szCs w:val="20"/>
    </w:rPr>
  </w:style>
  <w:style w:type="paragraph" w:styleId="29">
    <w:name w:val="toc 2"/>
    <w:basedOn w:val="1"/>
    <w:next w:val="1"/>
    <w:qFormat/>
    <w:uiPriority w:val="39"/>
    <w:pPr>
      <w:tabs>
        <w:tab w:val="right" w:leader="dot" w:pos="9241"/>
      </w:tabs>
    </w:pPr>
    <w:rPr>
      <w:rFonts w:ascii="宋体"/>
      <w:szCs w:val="21"/>
    </w:rPr>
  </w:style>
  <w:style w:type="paragraph" w:styleId="30">
    <w:name w:val="toc 9"/>
    <w:basedOn w:val="1"/>
    <w:next w:val="1"/>
    <w:semiHidden/>
    <w:qFormat/>
    <w:uiPriority w:val="0"/>
    <w:pPr>
      <w:ind w:left="1470"/>
      <w:jc w:val="left"/>
    </w:pPr>
    <w:rPr>
      <w:sz w:val="20"/>
      <w:szCs w:val="20"/>
    </w:rPr>
  </w:style>
  <w:style w:type="paragraph" w:styleId="3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2">
    <w:name w:val="index 2"/>
    <w:basedOn w:val="1"/>
    <w:next w:val="1"/>
    <w:qFormat/>
    <w:uiPriority w:val="0"/>
    <w:pPr>
      <w:ind w:left="420" w:hanging="210"/>
      <w:jc w:val="left"/>
    </w:pPr>
    <w:rPr>
      <w:rFonts w:ascii="Calibri" w:hAnsi="Calibri"/>
      <w:sz w:val="20"/>
      <w:szCs w:val="20"/>
    </w:rPr>
  </w:style>
  <w:style w:type="table" w:styleId="34">
    <w:name w:val="Table Grid"/>
    <w:basedOn w:val="33"/>
    <w:qFormat/>
    <w:uiPriority w:val="59"/>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6">
    <w:name w:val="endnote reference"/>
    <w:semiHidden/>
    <w:qFormat/>
    <w:uiPriority w:val="0"/>
    <w:rPr>
      <w:vertAlign w:val="superscript"/>
    </w:rPr>
  </w:style>
  <w:style w:type="character" w:styleId="37">
    <w:name w:val="page number"/>
    <w:qFormat/>
    <w:uiPriority w:val="0"/>
    <w:rPr>
      <w:rFonts w:ascii="Times New Roman" w:hAnsi="Times New Roman" w:eastAsia="宋体"/>
      <w:sz w:val="18"/>
    </w:rPr>
  </w:style>
  <w:style w:type="character" w:styleId="38">
    <w:name w:val="FollowedHyperlink"/>
    <w:qFormat/>
    <w:uiPriority w:val="0"/>
    <w:rPr>
      <w:color w:val="800080"/>
      <w:u w:val="single"/>
    </w:rPr>
  </w:style>
  <w:style w:type="character" w:styleId="39">
    <w:name w:val="Hyperlink"/>
    <w:qFormat/>
    <w:uiPriority w:val="99"/>
    <w:rPr>
      <w:color w:val="0000FF"/>
      <w:spacing w:val="0"/>
      <w:w w:val="100"/>
      <w:szCs w:val="21"/>
      <w:u w:val="single"/>
    </w:rPr>
  </w:style>
  <w:style w:type="character" w:styleId="40">
    <w:name w:val="footnote reference"/>
    <w:semiHidden/>
    <w:qFormat/>
    <w:uiPriority w:val="0"/>
    <w:rPr>
      <w:vertAlign w:val="superscript"/>
    </w:rPr>
  </w:style>
  <w:style w:type="character" w:customStyle="1" w:styleId="41">
    <w:name w:val="段 Char"/>
    <w:link w:val="24"/>
    <w:qFormat/>
    <w:uiPriority w:val="0"/>
    <w:rPr>
      <w:rFonts w:ascii="宋体"/>
      <w:sz w:val="21"/>
      <w:lang w:val="en-US" w:eastAsia="zh-CN" w:bidi="ar-SA"/>
    </w:rPr>
  </w:style>
  <w:style w:type="paragraph" w:customStyle="1" w:styleId="42">
    <w:name w:val="一级条标题"/>
    <w:next w:val="24"/>
    <w:qFormat/>
    <w:uiPriority w:val="0"/>
    <w:pPr>
      <w:numPr>
        <w:ilvl w:val="1"/>
        <w:numId w:val="2"/>
      </w:numPr>
      <w:spacing w:beforeLines="50" w:afterLines="50"/>
      <w:ind w:left="0"/>
      <w:outlineLvl w:val="2"/>
    </w:pPr>
    <w:rPr>
      <w:rFonts w:ascii="黑体" w:hAnsi="Times New Roman" w:eastAsia="黑体" w:cs="Times New Roman"/>
      <w:sz w:val="21"/>
      <w:szCs w:val="21"/>
      <w:lang w:val="en-US" w:eastAsia="zh-CN" w:bidi="ar-SA"/>
    </w:rPr>
  </w:style>
  <w:style w:type="paragraph" w:customStyle="1" w:styleId="43">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44">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45">
    <w:name w:val="章标题"/>
    <w:next w:val="24"/>
    <w:qFormat/>
    <w:uiPriority w:val="0"/>
    <w:pPr>
      <w:numPr>
        <w:ilvl w:val="0"/>
        <w:numId w:val="2"/>
      </w:numPr>
      <w:spacing w:beforeLines="100" w:afterLines="100"/>
      <w:ind w:left="0"/>
      <w:jc w:val="both"/>
      <w:outlineLvl w:val="1"/>
    </w:pPr>
    <w:rPr>
      <w:rFonts w:ascii="黑体" w:hAnsi="Times New Roman" w:eastAsia="黑体" w:cs="Times New Roman"/>
      <w:sz w:val="21"/>
      <w:lang w:val="en-US" w:eastAsia="zh-CN" w:bidi="ar-SA"/>
    </w:rPr>
  </w:style>
  <w:style w:type="paragraph" w:customStyle="1" w:styleId="46">
    <w:name w:val="二级条标题"/>
    <w:basedOn w:val="42"/>
    <w:next w:val="24"/>
    <w:qFormat/>
    <w:uiPriority w:val="0"/>
    <w:pPr>
      <w:numPr>
        <w:ilvl w:val="2"/>
      </w:numPr>
      <w:spacing w:before="50" w:after="50"/>
      <w:outlineLvl w:val="3"/>
    </w:pPr>
  </w:style>
  <w:style w:type="paragraph" w:customStyle="1" w:styleId="47">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48">
    <w:name w:val="列项——（一级）"/>
    <w:qFormat/>
    <w:uiPriority w:val="0"/>
    <w:pPr>
      <w:widowControl w:val="0"/>
      <w:numPr>
        <w:ilvl w:val="0"/>
        <w:numId w:val="3"/>
      </w:numPr>
      <w:jc w:val="both"/>
    </w:pPr>
    <w:rPr>
      <w:rFonts w:ascii="宋体" w:hAnsi="Times New Roman" w:eastAsia="宋体" w:cs="Times New Roman"/>
      <w:sz w:val="21"/>
      <w:lang w:val="en-US" w:eastAsia="zh-CN" w:bidi="ar-SA"/>
    </w:rPr>
  </w:style>
  <w:style w:type="paragraph" w:customStyle="1" w:styleId="49">
    <w:name w:val="列项●（二级）"/>
    <w:qFormat/>
    <w:uiPriority w:val="0"/>
    <w:pPr>
      <w:numPr>
        <w:ilvl w:val="1"/>
        <w:numId w:val="3"/>
      </w:numPr>
      <w:tabs>
        <w:tab w:val="left" w:pos="840"/>
      </w:tabs>
      <w:jc w:val="both"/>
    </w:pPr>
    <w:rPr>
      <w:rFonts w:ascii="宋体" w:hAnsi="Times New Roman" w:eastAsia="宋体" w:cs="Times New Roman"/>
      <w:sz w:val="21"/>
      <w:lang w:val="en-US" w:eastAsia="zh-CN" w:bidi="ar-SA"/>
    </w:rPr>
  </w:style>
  <w:style w:type="paragraph" w:customStyle="1" w:styleId="50">
    <w:name w:val="目次、标准名称标题"/>
    <w:basedOn w:val="1"/>
    <w:next w:val="24"/>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51">
    <w:name w:val="三级条标题"/>
    <w:basedOn w:val="46"/>
    <w:next w:val="24"/>
    <w:qFormat/>
    <w:uiPriority w:val="0"/>
    <w:pPr>
      <w:numPr>
        <w:ilvl w:val="3"/>
      </w:numPr>
      <w:outlineLvl w:val="4"/>
    </w:pPr>
  </w:style>
  <w:style w:type="paragraph" w:customStyle="1" w:styleId="52">
    <w:name w:val="示例"/>
    <w:next w:val="53"/>
    <w:qFormat/>
    <w:uiPriority w:val="0"/>
    <w:pPr>
      <w:widowControl w:val="0"/>
      <w:ind w:firstLine="363"/>
      <w:jc w:val="both"/>
    </w:pPr>
    <w:rPr>
      <w:rFonts w:ascii="宋体" w:hAnsi="Times New Roman" w:eastAsia="宋体" w:cs="Times New Roman"/>
      <w:sz w:val="18"/>
      <w:szCs w:val="18"/>
      <w:lang w:val="en-US" w:eastAsia="zh-CN" w:bidi="ar-SA"/>
    </w:rPr>
  </w:style>
  <w:style w:type="paragraph" w:customStyle="1" w:styleId="53">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54">
    <w:name w:val="数字编号列项（二级）"/>
    <w:qFormat/>
    <w:uiPriority w:val="0"/>
    <w:pPr>
      <w:numPr>
        <w:ilvl w:val="1"/>
        <w:numId w:val="4"/>
      </w:numPr>
      <w:jc w:val="both"/>
    </w:pPr>
    <w:rPr>
      <w:rFonts w:ascii="宋体" w:hAnsi="Times New Roman" w:eastAsia="宋体" w:cs="Times New Roman"/>
      <w:sz w:val="21"/>
      <w:lang w:val="en-US" w:eastAsia="zh-CN" w:bidi="ar-SA"/>
    </w:rPr>
  </w:style>
  <w:style w:type="paragraph" w:customStyle="1" w:styleId="55">
    <w:name w:val="四级条标题"/>
    <w:basedOn w:val="51"/>
    <w:next w:val="24"/>
    <w:qFormat/>
    <w:uiPriority w:val="0"/>
    <w:pPr>
      <w:numPr>
        <w:ilvl w:val="4"/>
      </w:numPr>
      <w:outlineLvl w:val="5"/>
    </w:pPr>
  </w:style>
  <w:style w:type="paragraph" w:customStyle="1" w:styleId="56">
    <w:name w:val="五级条标题"/>
    <w:basedOn w:val="55"/>
    <w:next w:val="24"/>
    <w:qFormat/>
    <w:uiPriority w:val="0"/>
    <w:pPr>
      <w:numPr>
        <w:ilvl w:val="5"/>
      </w:numPr>
      <w:outlineLvl w:val="6"/>
    </w:pPr>
  </w:style>
  <w:style w:type="paragraph" w:customStyle="1" w:styleId="57">
    <w:name w:val="注："/>
    <w:next w:val="24"/>
    <w:qFormat/>
    <w:uiPriority w:val="0"/>
    <w:pPr>
      <w:widowControl w:val="0"/>
      <w:autoSpaceDE w:val="0"/>
      <w:autoSpaceDN w:val="0"/>
      <w:ind w:left="647" w:hanging="363"/>
      <w:jc w:val="both"/>
    </w:pPr>
    <w:rPr>
      <w:rFonts w:ascii="宋体" w:hAnsi="Times New Roman" w:eastAsia="宋体" w:cs="Times New Roman"/>
      <w:sz w:val="18"/>
      <w:szCs w:val="18"/>
      <w:lang w:val="en-US" w:eastAsia="zh-CN" w:bidi="ar-SA"/>
    </w:rPr>
  </w:style>
  <w:style w:type="paragraph" w:customStyle="1" w:styleId="58">
    <w:name w:val="注×："/>
    <w:qFormat/>
    <w:uiPriority w:val="0"/>
    <w:pPr>
      <w:widowControl w:val="0"/>
      <w:autoSpaceDE w:val="0"/>
      <w:autoSpaceDN w:val="0"/>
      <w:ind w:left="811" w:hanging="448"/>
      <w:jc w:val="both"/>
    </w:pPr>
    <w:rPr>
      <w:rFonts w:ascii="宋体" w:hAnsi="Times New Roman" w:eastAsia="宋体" w:cs="Times New Roman"/>
      <w:sz w:val="18"/>
      <w:szCs w:val="18"/>
      <w:lang w:val="en-US" w:eastAsia="zh-CN" w:bidi="ar-SA"/>
    </w:rPr>
  </w:style>
  <w:style w:type="paragraph" w:customStyle="1" w:styleId="59">
    <w:name w:val="字母编号列项（一级）"/>
    <w:qFormat/>
    <w:uiPriority w:val="0"/>
    <w:pPr>
      <w:numPr>
        <w:ilvl w:val="0"/>
        <w:numId w:val="4"/>
      </w:numPr>
      <w:jc w:val="both"/>
    </w:pPr>
    <w:rPr>
      <w:rFonts w:ascii="宋体" w:hAnsi="Times New Roman" w:eastAsia="宋体" w:cs="Times New Roman"/>
      <w:sz w:val="21"/>
      <w:lang w:val="en-US" w:eastAsia="zh-CN" w:bidi="ar-SA"/>
    </w:rPr>
  </w:style>
  <w:style w:type="paragraph" w:customStyle="1" w:styleId="60">
    <w:name w:val="列项◆（三级）"/>
    <w:basedOn w:val="1"/>
    <w:qFormat/>
    <w:uiPriority w:val="0"/>
    <w:pPr>
      <w:numPr>
        <w:ilvl w:val="2"/>
        <w:numId w:val="3"/>
      </w:numPr>
    </w:pPr>
    <w:rPr>
      <w:rFonts w:ascii="宋体"/>
      <w:szCs w:val="21"/>
    </w:rPr>
  </w:style>
  <w:style w:type="paragraph" w:customStyle="1" w:styleId="61">
    <w:name w:val="编号列项（三级）"/>
    <w:qFormat/>
    <w:uiPriority w:val="0"/>
    <w:pPr>
      <w:numPr>
        <w:ilvl w:val="2"/>
        <w:numId w:val="4"/>
      </w:numPr>
    </w:pPr>
    <w:rPr>
      <w:rFonts w:ascii="宋体" w:hAnsi="Times New Roman" w:eastAsia="宋体" w:cs="Times New Roman"/>
      <w:sz w:val="21"/>
      <w:lang w:val="en-US" w:eastAsia="zh-CN" w:bidi="ar-SA"/>
    </w:rPr>
  </w:style>
  <w:style w:type="paragraph" w:customStyle="1" w:styleId="62">
    <w:name w:val="示例×："/>
    <w:basedOn w:val="45"/>
    <w:qFormat/>
    <w:uiPriority w:val="0"/>
    <w:pPr>
      <w:numPr>
        <w:numId w:val="0"/>
      </w:numPr>
      <w:spacing w:beforeLines="0" w:afterLines="0"/>
      <w:ind w:firstLine="363"/>
      <w:outlineLvl w:val="9"/>
    </w:pPr>
    <w:rPr>
      <w:rFonts w:ascii="宋体" w:eastAsia="宋体"/>
      <w:sz w:val="18"/>
      <w:szCs w:val="18"/>
    </w:rPr>
  </w:style>
  <w:style w:type="paragraph" w:customStyle="1" w:styleId="63">
    <w:name w:val="二级无"/>
    <w:basedOn w:val="46"/>
    <w:qFormat/>
    <w:uiPriority w:val="0"/>
    <w:pPr>
      <w:spacing w:beforeLines="0" w:afterLines="0"/>
      <w:ind w:left="0"/>
    </w:pPr>
    <w:rPr>
      <w:rFonts w:ascii="宋体" w:eastAsia="宋体"/>
    </w:rPr>
  </w:style>
  <w:style w:type="paragraph" w:customStyle="1" w:styleId="64">
    <w:name w:val="注：（正文）"/>
    <w:basedOn w:val="57"/>
    <w:next w:val="24"/>
    <w:qFormat/>
    <w:uiPriority w:val="0"/>
  </w:style>
  <w:style w:type="paragraph" w:customStyle="1" w:styleId="65">
    <w:name w:val="注×：（正文）"/>
    <w:qFormat/>
    <w:uiPriority w:val="0"/>
    <w:pPr>
      <w:numPr>
        <w:ilvl w:val="0"/>
        <w:numId w:val="5"/>
      </w:numPr>
      <w:jc w:val="both"/>
    </w:pPr>
    <w:rPr>
      <w:rFonts w:ascii="宋体" w:hAnsi="Times New Roman" w:eastAsia="宋体" w:cs="Times New Roman"/>
      <w:sz w:val="18"/>
      <w:szCs w:val="18"/>
      <w:lang w:val="en-US" w:eastAsia="zh-CN" w:bidi="ar-SA"/>
    </w:rPr>
  </w:style>
  <w:style w:type="paragraph" w:customStyle="1" w:styleId="66">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67">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68">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69">
    <w:name w:val="标准书眉_偶数页"/>
    <w:basedOn w:val="44"/>
    <w:next w:val="1"/>
    <w:qFormat/>
    <w:uiPriority w:val="0"/>
    <w:pPr>
      <w:jc w:val="left"/>
    </w:pPr>
  </w:style>
  <w:style w:type="paragraph" w:customStyle="1" w:styleId="70">
    <w:name w:val="标准书眉一"/>
    <w:qFormat/>
    <w:uiPriority w:val="0"/>
    <w:pPr>
      <w:jc w:val="both"/>
    </w:pPr>
    <w:rPr>
      <w:rFonts w:ascii="Times New Roman" w:hAnsi="Times New Roman" w:eastAsia="宋体" w:cs="Times New Roman"/>
      <w:lang w:val="en-US" w:eastAsia="zh-CN" w:bidi="ar-SA"/>
    </w:rPr>
  </w:style>
  <w:style w:type="paragraph" w:customStyle="1" w:styleId="71">
    <w:name w:val="参考文献"/>
    <w:basedOn w:val="1"/>
    <w:next w:val="24"/>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72">
    <w:name w:val="参考文献、索引标题"/>
    <w:basedOn w:val="1"/>
    <w:next w:val="24"/>
    <w:qFormat/>
    <w:uiPriority w:val="0"/>
    <w:pPr>
      <w:keepNext/>
      <w:pageBreakBefore/>
      <w:widowControl/>
      <w:shd w:val="clear" w:color="FFFFFF" w:fill="FFFFFF"/>
      <w:spacing w:before="640" w:after="200"/>
      <w:jc w:val="center"/>
      <w:outlineLvl w:val="0"/>
    </w:pPr>
    <w:rPr>
      <w:rFonts w:ascii="黑体" w:eastAsia="黑体"/>
      <w:kern w:val="0"/>
      <w:szCs w:val="20"/>
    </w:rPr>
  </w:style>
  <w:style w:type="character" w:customStyle="1" w:styleId="73">
    <w:name w:val="发布"/>
    <w:qFormat/>
    <w:uiPriority w:val="0"/>
    <w:rPr>
      <w:rFonts w:ascii="黑体" w:eastAsia="黑体"/>
      <w:spacing w:val="85"/>
      <w:w w:val="100"/>
      <w:position w:val="3"/>
      <w:sz w:val="28"/>
      <w:szCs w:val="28"/>
    </w:rPr>
  </w:style>
  <w:style w:type="paragraph" w:customStyle="1" w:styleId="74">
    <w:name w:val="发布部门"/>
    <w:next w:val="24"/>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75">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76">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77">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78">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79">
    <w:name w:val="封面标准英文名称"/>
    <w:basedOn w:val="78"/>
    <w:qFormat/>
    <w:uiPriority w:val="0"/>
    <w:pPr>
      <w:framePr w:wrap="around"/>
      <w:spacing w:before="370" w:line="400" w:lineRule="exact"/>
    </w:pPr>
    <w:rPr>
      <w:rFonts w:ascii="Times New Roman"/>
      <w:sz w:val="28"/>
      <w:szCs w:val="28"/>
    </w:rPr>
  </w:style>
  <w:style w:type="paragraph" w:customStyle="1" w:styleId="80">
    <w:name w:val="封面一致性程度标识"/>
    <w:basedOn w:val="79"/>
    <w:qFormat/>
    <w:uiPriority w:val="0"/>
    <w:pPr>
      <w:framePr w:wrap="around"/>
      <w:spacing w:before="440"/>
    </w:pPr>
    <w:rPr>
      <w:rFonts w:ascii="宋体" w:eastAsia="宋体"/>
    </w:rPr>
  </w:style>
  <w:style w:type="paragraph" w:customStyle="1" w:styleId="81">
    <w:name w:val="封面标准文稿类别"/>
    <w:basedOn w:val="80"/>
    <w:qFormat/>
    <w:uiPriority w:val="0"/>
    <w:pPr>
      <w:framePr w:wrap="around"/>
      <w:spacing w:after="160" w:line="240" w:lineRule="auto"/>
    </w:pPr>
    <w:rPr>
      <w:sz w:val="24"/>
    </w:rPr>
  </w:style>
  <w:style w:type="paragraph" w:customStyle="1" w:styleId="82">
    <w:name w:val="封面标准文稿编辑信息"/>
    <w:basedOn w:val="81"/>
    <w:qFormat/>
    <w:uiPriority w:val="0"/>
    <w:pPr>
      <w:framePr w:wrap="around"/>
      <w:spacing w:before="180" w:line="180" w:lineRule="exact"/>
    </w:pPr>
    <w:rPr>
      <w:sz w:val="21"/>
    </w:rPr>
  </w:style>
  <w:style w:type="paragraph" w:customStyle="1" w:styleId="83">
    <w:name w:val="封面正文"/>
    <w:qFormat/>
    <w:uiPriority w:val="0"/>
    <w:pPr>
      <w:jc w:val="both"/>
    </w:pPr>
    <w:rPr>
      <w:rFonts w:ascii="Times New Roman" w:hAnsi="Times New Roman" w:eastAsia="宋体" w:cs="Times New Roman"/>
      <w:lang w:val="en-US" w:eastAsia="zh-CN" w:bidi="ar-SA"/>
    </w:rPr>
  </w:style>
  <w:style w:type="paragraph" w:customStyle="1" w:styleId="84">
    <w:name w:val="附录标识"/>
    <w:basedOn w:val="1"/>
    <w:next w:val="24"/>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85">
    <w:name w:val="附录标题"/>
    <w:basedOn w:val="24"/>
    <w:next w:val="24"/>
    <w:qFormat/>
    <w:uiPriority w:val="0"/>
    <w:pPr>
      <w:ind w:firstLine="0" w:firstLineChars="0"/>
      <w:jc w:val="center"/>
    </w:pPr>
    <w:rPr>
      <w:rFonts w:ascii="黑体" w:eastAsia="黑体"/>
    </w:rPr>
  </w:style>
  <w:style w:type="paragraph" w:customStyle="1" w:styleId="86">
    <w:name w:val="附录表标号"/>
    <w:basedOn w:val="1"/>
    <w:next w:val="24"/>
    <w:qFormat/>
    <w:uiPriority w:val="0"/>
    <w:pPr>
      <w:numPr>
        <w:ilvl w:val="0"/>
        <w:numId w:val="7"/>
      </w:numPr>
      <w:tabs>
        <w:tab w:val="clear" w:pos="0"/>
      </w:tabs>
      <w:spacing w:line="14" w:lineRule="exact"/>
      <w:ind w:left="811" w:hanging="448"/>
      <w:jc w:val="center"/>
      <w:outlineLvl w:val="0"/>
    </w:pPr>
    <w:rPr>
      <w:color w:val="FFFFFF"/>
    </w:rPr>
  </w:style>
  <w:style w:type="paragraph" w:customStyle="1" w:styleId="87">
    <w:name w:val="附录表标题"/>
    <w:basedOn w:val="1"/>
    <w:next w:val="24"/>
    <w:qFormat/>
    <w:uiPriority w:val="0"/>
    <w:pPr>
      <w:numPr>
        <w:ilvl w:val="1"/>
        <w:numId w:val="7"/>
      </w:numPr>
      <w:tabs>
        <w:tab w:val="left" w:pos="180"/>
      </w:tabs>
      <w:spacing w:beforeLines="50" w:afterLines="50"/>
      <w:ind w:left="0" w:firstLine="0"/>
      <w:jc w:val="center"/>
    </w:pPr>
    <w:rPr>
      <w:rFonts w:ascii="黑体" w:eastAsia="黑体"/>
      <w:szCs w:val="21"/>
    </w:rPr>
  </w:style>
  <w:style w:type="paragraph" w:customStyle="1" w:styleId="88">
    <w:name w:val="附录二级条标题"/>
    <w:basedOn w:val="1"/>
    <w:next w:val="24"/>
    <w:qFormat/>
    <w:uiPriority w:val="0"/>
    <w:pPr>
      <w:widowControl/>
      <w:numPr>
        <w:ilvl w:val="3"/>
        <w:numId w:val="6"/>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89">
    <w:name w:val="附录二级无"/>
    <w:basedOn w:val="88"/>
    <w:qFormat/>
    <w:uiPriority w:val="0"/>
    <w:pPr>
      <w:tabs>
        <w:tab w:val="clear" w:pos="360"/>
      </w:tabs>
      <w:spacing w:beforeLines="0" w:afterLines="0"/>
    </w:pPr>
    <w:rPr>
      <w:rFonts w:ascii="宋体" w:eastAsia="宋体"/>
      <w:szCs w:val="21"/>
    </w:rPr>
  </w:style>
  <w:style w:type="paragraph" w:customStyle="1" w:styleId="90">
    <w:name w:val="附录公式"/>
    <w:basedOn w:val="24"/>
    <w:next w:val="24"/>
    <w:link w:val="91"/>
    <w:qFormat/>
    <w:uiPriority w:val="0"/>
  </w:style>
  <w:style w:type="character" w:customStyle="1" w:styleId="91">
    <w:name w:val="附录公式 Char"/>
    <w:basedOn w:val="41"/>
    <w:link w:val="90"/>
    <w:qFormat/>
    <w:uiPriority w:val="0"/>
    <w:rPr>
      <w:rFonts w:ascii="宋体"/>
      <w:sz w:val="21"/>
      <w:lang w:val="en-US" w:eastAsia="zh-CN" w:bidi="ar-SA"/>
    </w:rPr>
  </w:style>
  <w:style w:type="paragraph" w:customStyle="1" w:styleId="92">
    <w:name w:val="附录公式编号制表符"/>
    <w:basedOn w:val="1"/>
    <w:next w:val="24"/>
    <w:qFormat/>
    <w:uiPriority w:val="0"/>
    <w:pPr>
      <w:widowControl/>
      <w:tabs>
        <w:tab w:val="center" w:pos="4201"/>
        <w:tab w:val="right" w:leader="dot" w:pos="9298"/>
      </w:tabs>
      <w:autoSpaceDE w:val="0"/>
      <w:autoSpaceDN w:val="0"/>
    </w:pPr>
    <w:rPr>
      <w:rFonts w:ascii="宋体"/>
      <w:kern w:val="0"/>
      <w:szCs w:val="20"/>
    </w:rPr>
  </w:style>
  <w:style w:type="paragraph" w:customStyle="1" w:styleId="93">
    <w:name w:val="附录三级条标题"/>
    <w:basedOn w:val="88"/>
    <w:next w:val="24"/>
    <w:qFormat/>
    <w:uiPriority w:val="0"/>
    <w:pPr>
      <w:numPr>
        <w:ilvl w:val="4"/>
      </w:numPr>
      <w:outlineLvl w:val="4"/>
    </w:pPr>
  </w:style>
  <w:style w:type="paragraph" w:customStyle="1" w:styleId="94">
    <w:name w:val="附录三级无"/>
    <w:basedOn w:val="93"/>
    <w:qFormat/>
    <w:uiPriority w:val="0"/>
    <w:pPr>
      <w:tabs>
        <w:tab w:val="clear" w:pos="360"/>
      </w:tabs>
      <w:spacing w:beforeLines="0" w:afterLines="0"/>
    </w:pPr>
    <w:rPr>
      <w:rFonts w:ascii="宋体" w:eastAsia="宋体"/>
      <w:szCs w:val="21"/>
    </w:rPr>
  </w:style>
  <w:style w:type="paragraph" w:customStyle="1" w:styleId="95">
    <w:name w:val="附录数字编号列项（二级）"/>
    <w:qFormat/>
    <w:uiPriority w:val="0"/>
    <w:pPr>
      <w:numPr>
        <w:ilvl w:val="1"/>
        <w:numId w:val="8"/>
      </w:numPr>
    </w:pPr>
    <w:rPr>
      <w:rFonts w:ascii="宋体" w:hAnsi="Times New Roman" w:eastAsia="宋体" w:cs="Times New Roman"/>
      <w:sz w:val="21"/>
      <w:lang w:val="en-US" w:eastAsia="zh-CN" w:bidi="ar-SA"/>
    </w:rPr>
  </w:style>
  <w:style w:type="paragraph" w:customStyle="1" w:styleId="96">
    <w:name w:val="附录四级条标题"/>
    <w:basedOn w:val="93"/>
    <w:next w:val="24"/>
    <w:qFormat/>
    <w:uiPriority w:val="0"/>
    <w:pPr>
      <w:numPr>
        <w:ilvl w:val="5"/>
      </w:numPr>
      <w:outlineLvl w:val="5"/>
    </w:pPr>
  </w:style>
  <w:style w:type="paragraph" w:customStyle="1" w:styleId="97">
    <w:name w:val="附录四级无"/>
    <w:basedOn w:val="96"/>
    <w:qFormat/>
    <w:uiPriority w:val="0"/>
    <w:pPr>
      <w:tabs>
        <w:tab w:val="clear" w:pos="360"/>
      </w:tabs>
      <w:spacing w:beforeLines="0" w:afterLines="0"/>
    </w:pPr>
    <w:rPr>
      <w:rFonts w:ascii="宋体" w:eastAsia="宋体"/>
      <w:szCs w:val="21"/>
    </w:rPr>
  </w:style>
  <w:style w:type="paragraph" w:customStyle="1" w:styleId="98">
    <w:name w:val="附录图标号"/>
    <w:basedOn w:val="1"/>
    <w:qFormat/>
    <w:uiPriority w:val="0"/>
    <w:pPr>
      <w:keepNext/>
      <w:pageBreakBefore/>
      <w:widowControl/>
      <w:numPr>
        <w:ilvl w:val="0"/>
        <w:numId w:val="9"/>
      </w:numPr>
      <w:spacing w:line="14" w:lineRule="exact"/>
      <w:ind w:left="0" w:firstLine="363"/>
      <w:jc w:val="center"/>
      <w:outlineLvl w:val="0"/>
    </w:pPr>
    <w:rPr>
      <w:color w:val="FFFFFF"/>
    </w:rPr>
  </w:style>
  <w:style w:type="paragraph" w:customStyle="1" w:styleId="99">
    <w:name w:val="附录图标题"/>
    <w:basedOn w:val="1"/>
    <w:next w:val="24"/>
    <w:qFormat/>
    <w:uiPriority w:val="0"/>
    <w:pPr>
      <w:numPr>
        <w:ilvl w:val="1"/>
        <w:numId w:val="9"/>
      </w:numPr>
      <w:tabs>
        <w:tab w:val="left" w:pos="363"/>
      </w:tabs>
      <w:spacing w:beforeLines="50" w:afterLines="50"/>
      <w:ind w:left="0" w:firstLine="0"/>
      <w:jc w:val="center"/>
    </w:pPr>
    <w:rPr>
      <w:rFonts w:ascii="黑体" w:eastAsia="黑体"/>
      <w:szCs w:val="21"/>
    </w:rPr>
  </w:style>
  <w:style w:type="paragraph" w:customStyle="1" w:styleId="100">
    <w:name w:val="附录五级条标题"/>
    <w:basedOn w:val="96"/>
    <w:next w:val="24"/>
    <w:qFormat/>
    <w:uiPriority w:val="0"/>
    <w:pPr>
      <w:numPr>
        <w:ilvl w:val="6"/>
      </w:numPr>
      <w:outlineLvl w:val="6"/>
    </w:pPr>
  </w:style>
  <w:style w:type="paragraph" w:customStyle="1" w:styleId="101">
    <w:name w:val="附录五级无"/>
    <w:basedOn w:val="100"/>
    <w:qFormat/>
    <w:uiPriority w:val="0"/>
    <w:pPr>
      <w:tabs>
        <w:tab w:val="clear" w:pos="360"/>
      </w:tabs>
      <w:spacing w:beforeLines="0" w:afterLines="0"/>
    </w:pPr>
    <w:rPr>
      <w:rFonts w:ascii="宋体" w:eastAsia="宋体"/>
      <w:szCs w:val="21"/>
    </w:rPr>
  </w:style>
  <w:style w:type="paragraph" w:customStyle="1" w:styleId="102">
    <w:name w:val="附录章标题"/>
    <w:next w:val="24"/>
    <w:qFormat/>
    <w:uiPriority w:val="0"/>
    <w:pPr>
      <w:numPr>
        <w:ilvl w:val="1"/>
        <w:numId w:val="6"/>
      </w:num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03">
    <w:name w:val="附录一级条标题"/>
    <w:basedOn w:val="102"/>
    <w:next w:val="24"/>
    <w:qFormat/>
    <w:uiPriority w:val="0"/>
    <w:pPr>
      <w:numPr>
        <w:ilvl w:val="2"/>
      </w:numPr>
      <w:autoSpaceDN w:val="0"/>
      <w:spacing w:beforeLines="50" w:afterLines="50"/>
      <w:outlineLvl w:val="2"/>
    </w:pPr>
  </w:style>
  <w:style w:type="paragraph" w:customStyle="1" w:styleId="104">
    <w:name w:val="附录一级无"/>
    <w:basedOn w:val="103"/>
    <w:qFormat/>
    <w:uiPriority w:val="0"/>
    <w:pPr>
      <w:tabs>
        <w:tab w:val="clear" w:pos="360"/>
      </w:tabs>
      <w:spacing w:beforeLines="0" w:afterLines="0"/>
    </w:pPr>
    <w:rPr>
      <w:rFonts w:ascii="宋体" w:eastAsia="宋体"/>
      <w:szCs w:val="21"/>
    </w:rPr>
  </w:style>
  <w:style w:type="paragraph" w:customStyle="1" w:styleId="105">
    <w:name w:val="附录字母编号列项（一级）"/>
    <w:qFormat/>
    <w:uiPriority w:val="0"/>
    <w:pPr>
      <w:numPr>
        <w:ilvl w:val="0"/>
        <w:numId w:val="8"/>
      </w:numPr>
    </w:pPr>
    <w:rPr>
      <w:rFonts w:ascii="宋体" w:hAnsi="Times New Roman" w:eastAsia="宋体" w:cs="Times New Roman"/>
      <w:sz w:val="21"/>
      <w:lang w:val="en-US" w:eastAsia="zh-CN" w:bidi="ar-SA"/>
    </w:rPr>
  </w:style>
  <w:style w:type="paragraph" w:customStyle="1" w:styleId="106">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07">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08">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09">
    <w:name w:val="其他标准标志"/>
    <w:basedOn w:val="66"/>
    <w:qFormat/>
    <w:uiPriority w:val="0"/>
    <w:pPr>
      <w:framePr w:w="6101" w:wrap="around" w:vAnchor="page" w:hAnchor="page" w:x="4673" w:y="942"/>
    </w:pPr>
    <w:rPr>
      <w:w w:val="130"/>
    </w:rPr>
  </w:style>
  <w:style w:type="paragraph" w:customStyle="1" w:styleId="110">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11">
    <w:name w:val="其他发布部门"/>
    <w:basedOn w:val="74"/>
    <w:qFormat/>
    <w:uiPriority w:val="0"/>
    <w:pPr>
      <w:framePr w:wrap="around" w:y="15310"/>
      <w:spacing w:line="0" w:lineRule="atLeast"/>
    </w:pPr>
    <w:rPr>
      <w:rFonts w:ascii="黑体" w:eastAsia="黑体"/>
      <w:b w:val="0"/>
    </w:rPr>
  </w:style>
  <w:style w:type="paragraph" w:customStyle="1" w:styleId="112">
    <w:name w:val="前言、引言标题"/>
    <w:next w:val="24"/>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13">
    <w:name w:val="三级无"/>
    <w:basedOn w:val="51"/>
    <w:qFormat/>
    <w:uiPriority w:val="0"/>
    <w:pPr>
      <w:spacing w:beforeLines="0" w:afterLines="0"/>
    </w:pPr>
    <w:rPr>
      <w:rFonts w:ascii="宋体" w:eastAsia="宋体"/>
    </w:rPr>
  </w:style>
  <w:style w:type="paragraph" w:customStyle="1" w:styleId="114">
    <w:name w:val="实施日期"/>
    <w:basedOn w:val="75"/>
    <w:qFormat/>
    <w:uiPriority w:val="0"/>
    <w:pPr>
      <w:framePr w:wrap="around" w:vAnchor="page" w:hAnchor="text"/>
      <w:jc w:val="right"/>
    </w:pPr>
  </w:style>
  <w:style w:type="paragraph" w:customStyle="1" w:styleId="115">
    <w:name w:val="示例后文字"/>
    <w:basedOn w:val="24"/>
    <w:next w:val="24"/>
    <w:qFormat/>
    <w:uiPriority w:val="0"/>
    <w:pPr>
      <w:ind w:firstLine="360"/>
    </w:pPr>
    <w:rPr>
      <w:sz w:val="18"/>
    </w:rPr>
  </w:style>
  <w:style w:type="paragraph" w:customStyle="1" w:styleId="116">
    <w:name w:val="首示例"/>
    <w:next w:val="24"/>
    <w:link w:val="117"/>
    <w:qFormat/>
    <w:uiPriority w:val="0"/>
    <w:pPr>
      <w:tabs>
        <w:tab w:val="left" w:pos="360"/>
      </w:tabs>
    </w:pPr>
    <w:rPr>
      <w:rFonts w:ascii="宋体" w:hAnsi="宋体" w:eastAsia="宋体" w:cs="Times New Roman"/>
      <w:kern w:val="2"/>
      <w:sz w:val="18"/>
      <w:szCs w:val="18"/>
      <w:lang w:val="en-US" w:eastAsia="zh-CN" w:bidi="ar-SA"/>
    </w:rPr>
  </w:style>
  <w:style w:type="character" w:customStyle="1" w:styleId="117">
    <w:name w:val="首示例 Char"/>
    <w:link w:val="116"/>
    <w:qFormat/>
    <w:uiPriority w:val="0"/>
    <w:rPr>
      <w:rFonts w:ascii="宋体" w:hAnsi="宋体"/>
      <w:kern w:val="2"/>
      <w:sz w:val="18"/>
      <w:szCs w:val="18"/>
    </w:rPr>
  </w:style>
  <w:style w:type="paragraph" w:customStyle="1" w:styleId="118">
    <w:name w:val="四级无"/>
    <w:basedOn w:val="55"/>
    <w:qFormat/>
    <w:uiPriority w:val="0"/>
    <w:pPr>
      <w:spacing w:beforeLines="0" w:afterLines="0"/>
    </w:pPr>
    <w:rPr>
      <w:rFonts w:ascii="宋体" w:eastAsia="宋体"/>
    </w:rPr>
  </w:style>
  <w:style w:type="paragraph" w:customStyle="1" w:styleId="119">
    <w:name w:val="条文脚注"/>
    <w:basedOn w:val="25"/>
    <w:qFormat/>
    <w:uiPriority w:val="0"/>
    <w:pPr>
      <w:numPr>
        <w:numId w:val="0"/>
      </w:numPr>
      <w:jc w:val="both"/>
    </w:pPr>
  </w:style>
  <w:style w:type="paragraph" w:customStyle="1" w:styleId="120">
    <w:name w:val="图标脚注说明"/>
    <w:basedOn w:val="24"/>
    <w:qFormat/>
    <w:uiPriority w:val="0"/>
    <w:pPr>
      <w:ind w:left="840" w:hanging="420" w:firstLineChars="0"/>
    </w:pPr>
    <w:rPr>
      <w:sz w:val="18"/>
      <w:szCs w:val="18"/>
    </w:rPr>
  </w:style>
  <w:style w:type="paragraph" w:customStyle="1" w:styleId="121">
    <w:name w:val="图表脚注说明"/>
    <w:basedOn w:val="1"/>
    <w:qFormat/>
    <w:uiPriority w:val="0"/>
    <w:pPr>
      <w:ind w:left="544" w:hanging="181"/>
    </w:pPr>
    <w:rPr>
      <w:rFonts w:ascii="宋体"/>
      <w:sz w:val="18"/>
      <w:szCs w:val="18"/>
    </w:rPr>
  </w:style>
  <w:style w:type="paragraph" w:customStyle="1" w:styleId="122">
    <w:name w:val="图的脚注"/>
    <w:next w:val="24"/>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23">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24">
    <w:name w:val="五级无"/>
    <w:basedOn w:val="56"/>
    <w:qFormat/>
    <w:uiPriority w:val="0"/>
    <w:pPr>
      <w:spacing w:beforeLines="0" w:afterLines="0"/>
    </w:pPr>
    <w:rPr>
      <w:rFonts w:ascii="宋体" w:eastAsia="宋体"/>
    </w:rPr>
  </w:style>
  <w:style w:type="paragraph" w:customStyle="1" w:styleId="125">
    <w:name w:val="一级无"/>
    <w:basedOn w:val="42"/>
    <w:qFormat/>
    <w:uiPriority w:val="0"/>
    <w:pPr>
      <w:spacing w:beforeLines="0" w:afterLines="0"/>
    </w:pPr>
    <w:rPr>
      <w:rFonts w:ascii="宋体" w:eastAsia="宋体"/>
    </w:rPr>
  </w:style>
  <w:style w:type="paragraph" w:customStyle="1" w:styleId="126">
    <w:name w:val="正文表标题"/>
    <w:next w:val="24"/>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27">
    <w:name w:val="正文公式编号制表符"/>
    <w:basedOn w:val="24"/>
    <w:next w:val="24"/>
    <w:qFormat/>
    <w:uiPriority w:val="0"/>
    <w:pPr>
      <w:ind w:firstLine="0" w:firstLineChars="0"/>
    </w:pPr>
  </w:style>
  <w:style w:type="paragraph" w:customStyle="1" w:styleId="128">
    <w:name w:val="正文图标题"/>
    <w:next w:val="24"/>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29">
    <w:name w:val="终结线"/>
    <w:basedOn w:val="1"/>
    <w:qFormat/>
    <w:uiPriority w:val="0"/>
    <w:pPr>
      <w:framePr w:hSpace="181" w:vSpace="181" w:wrap="around" w:vAnchor="text" w:hAnchor="margin" w:xAlign="center" w:y="285"/>
    </w:pPr>
  </w:style>
  <w:style w:type="paragraph" w:customStyle="1" w:styleId="130">
    <w:name w:val="其他发布日期"/>
    <w:basedOn w:val="75"/>
    <w:qFormat/>
    <w:uiPriority w:val="0"/>
    <w:pPr>
      <w:framePr w:wrap="around" w:vAnchor="page" w:hAnchor="text" w:x="1419"/>
    </w:pPr>
  </w:style>
  <w:style w:type="paragraph" w:customStyle="1" w:styleId="131">
    <w:name w:val="其他实施日期"/>
    <w:basedOn w:val="114"/>
    <w:qFormat/>
    <w:uiPriority w:val="0"/>
    <w:pPr>
      <w:framePr w:wrap="around"/>
    </w:pPr>
  </w:style>
  <w:style w:type="paragraph" w:customStyle="1" w:styleId="132">
    <w:name w:val="封面标准名称2"/>
    <w:basedOn w:val="78"/>
    <w:qFormat/>
    <w:uiPriority w:val="0"/>
    <w:pPr>
      <w:framePr w:wrap="around" w:y="4469"/>
      <w:spacing w:beforeLines="630"/>
    </w:pPr>
  </w:style>
  <w:style w:type="paragraph" w:customStyle="1" w:styleId="133">
    <w:name w:val="封面标准英文名称2"/>
    <w:basedOn w:val="79"/>
    <w:qFormat/>
    <w:uiPriority w:val="0"/>
    <w:pPr>
      <w:framePr w:wrap="around" w:y="4469"/>
    </w:pPr>
  </w:style>
  <w:style w:type="paragraph" w:customStyle="1" w:styleId="134">
    <w:name w:val="封面一致性程度标识2"/>
    <w:basedOn w:val="80"/>
    <w:qFormat/>
    <w:uiPriority w:val="0"/>
    <w:pPr>
      <w:framePr w:wrap="around" w:y="4469"/>
    </w:pPr>
  </w:style>
  <w:style w:type="paragraph" w:customStyle="1" w:styleId="135">
    <w:name w:val="封面标准文稿类别2"/>
    <w:basedOn w:val="81"/>
    <w:qFormat/>
    <w:uiPriority w:val="0"/>
    <w:pPr>
      <w:framePr w:wrap="around" w:y="4469"/>
    </w:pPr>
  </w:style>
  <w:style w:type="paragraph" w:customStyle="1" w:styleId="136">
    <w:name w:val="封面标准文稿编辑信息2"/>
    <w:basedOn w:val="82"/>
    <w:qFormat/>
    <w:uiPriority w:val="0"/>
    <w:pPr>
      <w:framePr w:wrap="around" w:y="4469"/>
    </w:pPr>
  </w:style>
  <w:style w:type="paragraph" w:customStyle="1" w:styleId="137">
    <w:name w:val="图表脚注"/>
    <w:next w:val="24"/>
    <w:qFormat/>
    <w:uiPriority w:val="0"/>
    <w:pPr>
      <w:ind w:left="300" w:leftChars="200" w:hanging="100" w:hangingChars="100"/>
      <w:jc w:val="both"/>
    </w:pPr>
    <w:rPr>
      <w:rFonts w:ascii="宋体" w:hAnsi="Times New Roman" w:eastAsia="宋体" w:cs="Times New Roman"/>
      <w:sz w:val="18"/>
      <w:lang w:val="en-US" w:eastAsia="zh-CN" w:bidi="ar-SA"/>
    </w:rPr>
  </w:style>
  <w:style w:type="character" w:customStyle="1" w:styleId="138">
    <w:name w:val="批注框文本 字符"/>
    <w:link w:val="17"/>
    <w:qFormat/>
    <w:uiPriority w:val="99"/>
    <w:rPr>
      <w:rFonts w:ascii="Calibri" w:hAnsi="Calibri"/>
      <w:kern w:val="2"/>
      <w:sz w:val="18"/>
      <w:szCs w:val="18"/>
    </w:rPr>
  </w:style>
  <w:style w:type="paragraph" w:customStyle="1" w:styleId="139">
    <w:name w:val="修订1"/>
    <w:hidden/>
    <w:semiHidden/>
    <w:qFormat/>
    <w:uiPriority w:val="99"/>
    <w:rPr>
      <w:rFonts w:ascii="Times New Roman" w:hAnsi="Times New Roman" w:eastAsia="宋体" w:cs="Times New Roman"/>
      <w:kern w:val="2"/>
      <w:sz w:val="21"/>
      <w:szCs w:val="24"/>
      <w:lang w:val="en-US" w:eastAsia="zh-CN" w:bidi="ar-SA"/>
    </w:rPr>
  </w:style>
  <w:style w:type="paragraph" w:styleId="140">
    <w:name w:val="List Paragraph"/>
    <w:basedOn w:val="1"/>
    <w:qFormat/>
    <w:uiPriority w:val="99"/>
    <w:pPr>
      <w:ind w:firstLine="420" w:firstLineChars="200"/>
    </w:pPr>
  </w:style>
  <w:style w:type="character" w:customStyle="1" w:styleId="141">
    <w:name w:val="标题 1 字符"/>
    <w:basedOn w:val="35"/>
    <w:link w:val="2"/>
    <w:qFormat/>
    <w:uiPriority w:val="0"/>
    <w:rPr>
      <w:rFonts w:ascii="Times New Roman" w:hAnsi="Times New Roman" w:eastAsia="宋体" w:cs="Times New Roman"/>
      <w:b/>
      <w:bCs/>
      <w:kern w:val="44"/>
      <w:sz w:val="44"/>
      <w:szCs w:val="44"/>
    </w:rPr>
  </w:style>
  <w:style w:type="paragraph" w:customStyle="1" w:styleId="142">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143">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44">
    <w:name w:val="标题 6 字符"/>
    <w:basedOn w:val="35"/>
    <w:link w:val="3"/>
    <w:qFormat/>
    <w:uiPriority w:val="0"/>
    <w:rPr>
      <w:rFonts w:asciiTheme="majorHAnsi" w:hAnsiTheme="majorHAnsi" w:eastAsiaTheme="majorEastAsia" w:cstheme="majorBidi"/>
      <w:b/>
      <w:bCs/>
      <w:kern w:val="2"/>
      <w:sz w:val="24"/>
      <w:szCs w:val="24"/>
    </w:rPr>
  </w:style>
  <w:style w:type="paragraph" w:customStyle="1" w:styleId="145">
    <w:name w:val="标准文件_方框数字列项"/>
    <w:basedOn w:val="1"/>
    <w:qFormat/>
    <w:uiPriority w:val="0"/>
    <w:pPr>
      <w:widowControl/>
      <w:numPr>
        <w:ilvl w:val="0"/>
        <w:numId w:val="10"/>
      </w:numPr>
      <w:autoSpaceDE w:val="0"/>
      <w:autoSpaceDN w:val="0"/>
      <w:ind w:firstLine="0"/>
    </w:pPr>
    <w:rPr>
      <w:rFonts w:ascii="宋体"/>
      <w:kern w:val="0"/>
      <w:szCs w:val="20"/>
    </w:rPr>
  </w:style>
  <w:style w:type="paragraph" w:customStyle="1" w:styleId="146">
    <w:name w:val="标准文件_数字编号列项（二级）"/>
    <w:qFormat/>
    <w:uiPriority w:val="0"/>
    <w:pPr>
      <w:tabs>
        <w:tab w:val="left" w:pos="851"/>
        <w:tab w:val="left" w:pos="1276"/>
      </w:tabs>
      <w:ind w:left="1276" w:hanging="425"/>
      <w:jc w:val="both"/>
    </w:pPr>
    <w:rPr>
      <w:rFonts w:ascii="宋体" w:hAnsi="Times New Roman" w:eastAsia="宋体" w:cs="Times New Roman"/>
      <w:sz w:val="21"/>
      <w:lang w:val="en-US" w:eastAsia="zh-CN" w:bidi="ar-SA"/>
    </w:rPr>
  </w:style>
  <w:style w:type="paragraph" w:customStyle="1" w:styleId="147">
    <w:name w:val="标准文件_编号列项（三级）"/>
    <w:qFormat/>
    <w:uiPriority w:val="0"/>
    <w:pPr>
      <w:tabs>
        <w:tab w:val="left" w:pos="851"/>
      </w:tabs>
      <w:ind w:left="1701" w:hanging="425"/>
    </w:pPr>
    <w:rPr>
      <w:rFonts w:ascii="宋体" w:hAnsi="Times New Roman" w:eastAsia="宋体" w:cs="Times New Roman"/>
      <w:sz w:val="21"/>
      <w:lang w:val="en-US" w:eastAsia="zh-CN" w:bidi="ar-SA"/>
    </w:rPr>
  </w:style>
  <w:style w:type="paragraph" w:customStyle="1" w:styleId="148">
    <w:name w:val="标准文件_字母编号列项（一级）"/>
    <w:qFormat/>
    <w:uiPriority w:val="0"/>
    <w:pPr>
      <w:tabs>
        <w:tab w:val="left" w:pos="851"/>
      </w:tabs>
      <w:ind w:left="851" w:hanging="426"/>
      <w:jc w:val="both"/>
    </w:pPr>
    <w:rPr>
      <w:rFonts w:ascii="宋体" w:hAnsi="Times New Roman" w:eastAsia="宋体" w:cs="Times New Roman"/>
      <w:sz w:val="21"/>
      <w:lang w:val="en-US" w:eastAsia="zh-CN" w:bidi="ar-SA"/>
    </w:rPr>
  </w:style>
  <w:style w:type="paragraph" w:customStyle="1" w:styleId="149">
    <w:name w:val="标准文件_破折号列项"/>
    <w:qFormat/>
    <w:uiPriority w:val="0"/>
    <w:pPr>
      <w:numPr>
        <w:ilvl w:val="0"/>
        <w:numId w:val="11"/>
      </w:numPr>
      <w:adjustRightInd w:val="0"/>
      <w:snapToGrid w:val="0"/>
      <w:ind w:firstLine="200" w:firstLineChars="200"/>
    </w:pPr>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047A7-9966-45A5-BE85-1995BAC1E9E5}">
  <ds:schemaRefs/>
</ds:datastoreItem>
</file>

<file path=docProps/app.xml><?xml version="1.0" encoding="utf-8"?>
<Properties xmlns="http://schemas.openxmlformats.org/officeDocument/2006/extended-properties" xmlns:vt="http://schemas.openxmlformats.org/officeDocument/2006/docPropsVTypes">
  <Template>Normal</Template>
  <Company>zle</Company>
  <Pages>27</Pages>
  <Words>7152</Words>
  <Characters>8337</Characters>
  <Lines>158</Lines>
  <Paragraphs>44</Paragraphs>
  <TotalTime>2898</TotalTime>
  <ScaleCrop>false</ScaleCrop>
  <LinksUpToDate>false</LinksUpToDate>
  <CharactersWithSpaces>8817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2019-12-19T05:44:00Z</dcterms:created>
  <dc:creator>dell</dc:creator>
  <cp:lastModifiedBy>杨雨凡</cp:lastModifiedBy>
  <cp:lastPrinted>2026-04-01T01:53:00Z</cp:lastPrinted>
  <dcterms:modified xsi:type="dcterms:W3CDTF">2026-10-08T01:43:04Z</dcterms:modified>
  <dc:title>标准名称</dc:title>
  <cp:revision>1283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5D33A942814B4A68B4D2732507C443A9_12</vt:lpwstr>
  </property>
  <property fmtid="{D5CDD505-2E9C-101B-9397-08002B2CF9AE}" pid="4" name="KSOTemplateDocerSaveRecord">
    <vt:lpwstr>eyJoZGlkIjoiZGU0YjJkYTRlMGE2MTAwMGUwNDE4YWYxZmY2ZmNjYWUiLCJ1c2VySWQiOiIxODA2MDYxNjM5In0=</vt:lpwstr>
  </property>
</Properties>
</file>